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C411A" w14:textId="77777777" w:rsidR="009E40F4" w:rsidRPr="009E40F4" w:rsidRDefault="009E40F4" w:rsidP="009E40F4">
      <w:pPr>
        <w:shd w:val="clear" w:color="auto" w:fill="FFFFFF"/>
        <w:spacing w:before="225" w:after="225" w:line="600" w:lineRule="atLeast"/>
        <w:outlineLvl w:val="1"/>
        <w:rPr>
          <w:rFonts w:ascii="Open Sans" w:eastAsia="Times New Roman" w:hAnsi="Open Sans" w:cs="Open Sans"/>
          <w:color w:val="444444"/>
          <w:kern w:val="0"/>
          <w:sz w:val="48"/>
          <w:szCs w:val="48"/>
          <w:lang w:eastAsia="ru-RU"/>
          <w14:ligatures w14:val="none"/>
        </w:rPr>
      </w:pPr>
      <w:r w:rsidRPr="009E40F4">
        <w:rPr>
          <w:rFonts w:ascii="Open Sans" w:eastAsia="Times New Roman" w:hAnsi="Open Sans" w:cs="Open Sans"/>
          <w:color w:val="444444"/>
          <w:kern w:val="0"/>
          <w:sz w:val="48"/>
          <w:szCs w:val="48"/>
          <w:lang w:eastAsia="ru-RU"/>
          <w14:ligatures w14:val="none"/>
        </w:rPr>
        <w:t>СТАНДАРТИЗАЦИЯ И МЕТРОЛОГИЧЕСКОЕ ОБЕСПЕЧЕНИЕ НЕРАЗРУШАЮЩЕГО КОНТРОЛЯ</w:t>
      </w:r>
    </w:p>
    <w:p w14:paraId="438A4655" w14:textId="77777777" w:rsidR="009E40F4" w:rsidRPr="009E40F4" w:rsidRDefault="009E40F4" w:rsidP="009E40F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0" w:name="_Toc322119660"/>
      <w:bookmarkStart w:id="1" w:name="_Toc191278215"/>
      <w:bookmarkEnd w:id="0"/>
      <w:r w:rsidRPr="009E40F4">
        <w:rPr>
          <w:rFonts w:ascii="Open Sans" w:eastAsia="Times New Roman" w:hAnsi="Open Sans" w:cs="Open Sans"/>
          <w:color w:val="1FA2D6"/>
          <w:kern w:val="0"/>
          <w:sz w:val="21"/>
          <w:szCs w:val="21"/>
          <w:lang w:eastAsia="ru-RU"/>
          <w14:ligatures w14:val="none"/>
        </w:rPr>
        <w:t>§ 3.1 Система стандартизации и метрологического обеспечения неразрушающего контроля</w:t>
      </w:r>
      <w:bookmarkEnd w:id="1"/>
    </w:p>
    <w:p w14:paraId="2AB8F416" w14:textId="77777777" w:rsidR="009E40F4" w:rsidRPr="009E40F4" w:rsidRDefault="009E40F4" w:rsidP="009E40F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color w:val="444444"/>
          <w:kern w:val="0"/>
          <w:sz w:val="21"/>
          <w:szCs w:val="21"/>
          <w:lang w:eastAsia="ru-RU"/>
          <w14:ligatures w14:val="none"/>
        </w:rPr>
        <w:t>В общем случае задача НК сводится к количественной оценке качества объектов. Вопросы измерения качества продукции — содержание науки квалиметрия (от лат. qualis — какой, какого качества). Квалиметрия — раздел метрологии (от греч. μετρου — мера, λογοξ — учение, наука), т.е. науки об измерениях, методах и средствах обеспечения их единства и способах достижения требуемой точности (ГОСТ 16263 - 70).</w:t>
      </w:r>
      <w:r w:rsidRPr="009E40F4">
        <w:rPr>
          <w:rFonts w:ascii="Open Sans" w:eastAsia="Times New Roman" w:hAnsi="Open Sans" w:cs="Open Sans"/>
          <w:color w:val="444444"/>
          <w:kern w:val="0"/>
          <w:sz w:val="21"/>
          <w:szCs w:val="21"/>
          <w:lang w:eastAsia="ru-RU"/>
          <w14:ligatures w14:val="none"/>
        </w:rPr>
        <w:br/>
        <w:t>В метрологии предметом измерения (мерой) являются физические величины, т.е. определенные свойства (меры), общие в качественном отношения для многих физических объектов, но в количественном отношении индивидуальные для каждого из них. К физическим величинам, например, относятся длина, время, масса, температура, акустическое давление, электрическое напряжение, сила, мощность и т.п. В квалиметрии мерами свойств объектов являются их показатели качества.</w:t>
      </w:r>
      <w:r w:rsidRPr="009E40F4">
        <w:rPr>
          <w:rFonts w:ascii="Open Sans" w:eastAsia="Times New Roman" w:hAnsi="Open Sans" w:cs="Open Sans"/>
          <w:color w:val="444444"/>
          <w:kern w:val="0"/>
          <w:sz w:val="21"/>
          <w:szCs w:val="21"/>
          <w:lang w:eastAsia="ru-RU"/>
          <w14:ligatures w14:val="none"/>
        </w:rPr>
        <w:br/>
        <w:t>Понятия «физическая величина» и «показатель качества» не тождественны. Например, масса — физическая величина, а масса дефектоскопа — показатель его транспортабельности; яркость — физическая величина, а яркость развертки на экране дефектоскопа — эргономический показатель; цена — экономическая величина, а цена дефектоскопа — экономический показатель, определяющий интегральный критерий его эффективности.</w:t>
      </w:r>
    </w:p>
    <w:p w14:paraId="1478B53B" w14:textId="034437AF" w:rsidR="009E40F4" w:rsidRPr="009E40F4" w:rsidRDefault="009E40F4" w:rsidP="009E40F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color w:val="444444"/>
          <w:kern w:val="0"/>
          <w:sz w:val="21"/>
          <w:szCs w:val="21"/>
          <w:lang w:eastAsia="ru-RU"/>
          <w14:ligatures w14:val="none"/>
        </w:rPr>
        <w:t> Количественной характеристикой физической или нефизической величины служит ее размер. Получение информации о размере — содержание любого измерения. Простейший способ представления информации о размере физической величины или показателя качества— расположение размеров в порядке возрастания или убывания, т.е. в виде шкалы порядка (например, распределение квалификации операторов по шкале разрядов). Расстановку размеров по шкале порядка с целью получения измерительной информации называют ранжированием (например, распределение дефектов в порядке возрастания их коэффициента опасности, см. табл. 6.1). Для упрощения измерений по шкале порядка некоторые точки на ней можно зафиксировать в качестве опорных (реперных). Если в качестве опорной точки принята такая, в которой размер равен нулю, то по такой шкале (шкала отношений) можно отсчитать абсолютное значение размера и определить, на сколько (и во сколько) один размер больше или меньше другого.</w:t>
      </w:r>
      <w:r w:rsidRPr="009E40F4">
        <w:rPr>
          <w:rFonts w:ascii="Open Sans" w:eastAsia="Times New Roman" w:hAnsi="Open Sans" w:cs="Open Sans"/>
          <w:color w:val="444444"/>
          <w:kern w:val="0"/>
          <w:sz w:val="21"/>
          <w:szCs w:val="21"/>
          <w:lang w:eastAsia="ru-RU"/>
          <w14:ligatures w14:val="none"/>
        </w:rPr>
        <w:br/>
        <w:t>Размер следует отличать от значения измеряемой величины, выражающего размер в определенных единицах. Отвлеченное число, входящее в значение физической величины (показателя качества), называют числовым значением. Таким образом, значение измеряемой величины </w:t>
      </w:r>
      <w:r w:rsidRPr="009E40F4">
        <w:rPr>
          <w:rFonts w:ascii="Open Sans" w:eastAsia="Times New Roman" w:hAnsi="Open Sans" w:cs="Open Sans"/>
          <w:i/>
          <w:iCs/>
          <w:color w:val="DD0055"/>
          <w:kern w:val="0"/>
          <w:sz w:val="21"/>
          <w:szCs w:val="21"/>
          <w:lang w:eastAsia="ru-RU"/>
          <w14:ligatures w14:val="none"/>
        </w:rPr>
        <w:t>X</w:t>
      </w:r>
      <w:r w:rsidRPr="009E40F4">
        <w:rPr>
          <w:rFonts w:ascii="Open Sans" w:eastAsia="Times New Roman" w:hAnsi="Open Sans" w:cs="Open Sans"/>
          <w:color w:val="444444"/>
          <w:kern w:val="0"/>
          <w:sz w:val="21"/>
          <w:szCs w:val="21"/>
          <w:lang w:eastAsia="ru-RU"/>
          <w14:ligatures w14:val="none"/>
        </w:rPr>
        <w:t>, например длины контролируемого вала, определяется ее числовым значением х и некоторым размером </w:t>
      </w:r>
      <w:r w:rsidRPr="009E40F4">
        <w:rPr>
          <w:rFonts w:ascii="Open Sans" w:eastAsia="Times New Roman" w:hAnsi="Open Sans" w:cs="Open Sans"/>
          <w:i/>
          <w:iCs/>
          <w:color w:val="DD0055"/>
          <w:kern w:val="0"/>
          <w:sz w:val="21"/>
          <w:szCs w:val="21"/>
          <w:lang w:eastAsia="ru-RU"/>
          <w14:ligatures w14:val="none"/>
        </w:rPr>
        <w:t>L</w:t>
      </w:r>
      <w:r w:rsidRPr="009E40F4">
        <w:rPr>
          <w:rFonts w:ascii="Open Sans" w:eastAsia="Times New Roman" w:hAnsi="Open Sans" w:cs="Open Sans"/>
          <w:color w:val="444444"/>
          <w:kern w:val="0"/>
          <w:sz w:val="21"/>
          <w:szCs w:val="21"/>
          <w:lang w:eastAsia="ru-RU"/>
          <w14:ligatures w14:val="none"/>
        </w:rPr>
        <w:t>, принятым за единицу измерения (в нашем примере метры, сантиметры или миллиметры): </w:t>
      </w:r>
      <w:r w:rsidRPr="009E40F4">
        <w:rPr>
          <w:rFonts w:ascii="Open Sans" w:eastAsia="Times New Roman" w:hAnsi="Open Sans" w:cs="Open Sans"/>
          <w:i/>
          <w:iCs/>
          <w:color w:val="DD0055"/>
          <w:kern w:val="0"/>
          <w:sz w:val="21"/>
          <w:szCs w:val="21"/>
          <w:lang w:eastAsia="ru-RU"/>
          <w14:ligatures w14:val="none"/>
        </w:rPr>
        <w:t>X</w:t>
      </w:r>
      <w:r w:rsidRPr="009E40F4">
        <w:rPr>
          <w:rFonts w:ascii="Open Sans" w:eastAsia="Times New Roman" w:hAnsi="Open Sans" w:cs="Open Sans"/>
          <w:color w:val="444444"/>
          <w:kern w:val="0"/>
          <w:sz w:val="21"/>
          <w:szCs w:val="21"/>
          <w:lang w:eastAsia="ru-RU"/>
          <w14:ligatures w14:val="none"/>
        </w:rPr>
        <w:t> = </w:t>
      </w:r>
      <w:r w:rsidRPr="009E40F4">
        <w:rPr>
          <w:rFonts w:ascii="Open Sans" w:eastAsia="Times New Roman" w:hAnsi="Open Sans" w:cs="Open Sans"/>
          <w:i/>
          <w:iCs/>
          <w:color w:val="DD0055"/>
          <w:kern w:val="0"/>
          <w:sz w:val="21"/>
          <w:szCs w:val="21"/>
          <w:lang w:eastAsia="ru-RU"/>
          <w14:ligatures w14:val="none"/>
        </w:rPr>
        <w:t>xL</w:t>
      </w:r>
      <w:r w:rsidRPr="009E40F4">
        <w:rPr>
          <w:rFonts w:ascii="Open Sans" w:eastAsia="Times New Roman" w:hAnsi="Open Sans" w:cs="Open Sans"/>
          <w:color w:val="444444"/>
          <w:kern w:val="0"/>
          <w:sz w:val="21"/>
          <w:szCs w:val="21"/>
          <w:lang w:eastAsia="ru-RU"/>
          <w14:ligatures w14:val="none"/>
        </w:rPr>
        <w:t> = 583 мм = 58,3 см = 0,583 м.</w:t>
      </w:r>
      <w:r w:rsidRPr="009E40F4">
        <w:rPr>
          <w:rFonts w:ascii="Open Sans" w:eastAsia="Times New Roman" w:hAnsi="Open Sans" w:cs="Open Sans"/>
          <w:color w:val="444444"/>
          <w:kern w:val="0"/>
          <w:sz w:val="21"/>
          <w:szCs w:val="21"/>
          <w:lang w:eastAsia="ru-RU"/>
          <w14:ligatures w14:val="none"/>
        </w:rPr>
        <w:br/>
        <w:t xml:space="preserve">Значения физических величин, как и показателей качества, могут быть абсолютными (имеют размерность) и относительными (всегда безразмерные). Аналогично делению физических величин на основные и производные показатели качества делят на </w:t>
      </w:r>
      <w:r w:rsidRPr="009E40F4">
        <w:rPr>
          <w:rFonts w:ascii="Open Sans" w:eastAsia="Times New Roman" w:hAnsi="Open Sans" w:cs="Open Sans"/>
          <w:color w:val="444444"/>
          <w:kern w:val="0"/>
          <w:sz w:val="21"/>
          <w:szCs w:val="21"/>
          <w:lang w:eastAsia="ru-RU"/>
          <w14:ligatures w14:val="none"/>
        </w:rPr>
        <w:lastRenderedPageBreak/>
        <w:t>единичные и комплексные (см. § 1.1).</w:t>
      </w:r>
      <w:r w:rsidRPr="009E40F4">
        <w:rPr>
          <w:rFonts w:ascii="Open Sans" w:eastAsia="Times New Roman" w:hAnsi="Open Sans" w:cs="Open Sans"/>
          <w:color w:val="444444"/>
          <w:kern w:val="0"/>
          <w:sz w:val="21"/>
          <w:szCs w:val="21"/>
          <w:lang w:eastAsia="ru-RU"/>
          <w14:ligatures w14:val="none"/>
        </w:rPr>
        <w:br/>
        <w:t>С 1980 г. в Советском Союзе введена Международная система единиц физических величин, получившая у нас в стране сокращенное название СИ (от начальных букв SI в словах Systeme International). Правила написания обозначений единиц СИ регламентированы ГОСТ 8417 - 81. Единицы физических величин, используемые в различных видах НК, рассмотрены в соответствующих книгах серии «Неразрушающий контроль» и в гл. 9, 10 настоящей книги.</w:t>
      </w:r>
      <w:r w:rsidRPr="009E40F4">
        <w:rPr>
          <w:rFonts w:ascii="Open Sans" w:eastAsia="Times New Roman" w:hAnsi="Open Sans" w:cs="Open Sans"/>
          <w:color w:val="444444"/>
          <w:kern w:val="0"/>
          <w:sz w:val="21"/>
          <w:szCs w:val="21"/>
          <w:lang w:eastAsia="ru-RU"/>
          <w14:ligatures w14:val="none"/>
        </w:rPr>
        <w:br/>
        <w:t>Любое измерение в любых единицах состоит в сравнении неизвестного размера с известным. Измерения, основанные на использовании органов чувств человека, называют органолептическими. Измерения могут выполнять и без участия органов чувств, базируясь на ощущениях, впечатлениях и даже на интуиции (эвристические). Результаты таких измерений зависят от многих индивидуальных особенностей человека. Чтобы избежать ошибок, вызванных этой причиной, к измерениям привлекают несколько специалистов — экспертов. Экспертный метод широко применяют в квалиметрии для измерения показателей качества. При измерении комплексного показателя качества </w:t>
      </w:r>
      <w:r w:rsidRPr="009E40F4">
        <w:rPr>
          <w:rFonts w:ascii="Open Sans" w:eastAsia="Times New Roman" w:hAnsi="Open Sans" w:cs="Open Sans"/>
          <w:i/>
          <w:iCs/>
          <w:color w:val="DD0055"/>
          <w:kern w:val="0"/>
          <w:sz w:val="21"/>
          <w:szCs w:val="21"/>
          <w:lang w:eastAsia="ru-RU"/>
          <w14:ligatures w14:val="none"/>
        </w:rPr>
        <w:t>Q</w:t>
      </w:r>
      <w:r w:rsidRPr="009E40F4">
        <w:rPr>
          <w:rFonts w:ascii="Open Sans" w:eastAsia="Times New Roman" w:hAnsi="Open Sans" w:cs="Open Sans"/>
          <w:color w:val="444444"/>
          <w:kern w:val="0"/>
          <w:sz w:val="21"/>
          <w:szCs w:val="21"/>
          <w:lang w:eastAsia="ru-RU"/>
          <w14:ligatures w14:val="none"/>
        </w:rPr>
        <w:t> (см. § 1.1) важность каждого </w:t>
      </w:r>
      <w:r w:rsidRPr="009E40F4">
        <w:rPr>
          <w:rFonts w:ascii="Open Sans" w:eastAsia="Times New Roman" w:hAnsi="Open Sans" w:cs="Open Sans"/>
          <w:i/>
          <w:iCs/>
          <w:color w:val="DD0055"/>
          <w:kern w:val="0"/>
          <w:sz w:val="21"/>
          <w:szCs w:val="21"/>
          <w:lang w:eastAsia="ru-RU"/>
          <w14:ligatures w14:val="none"/>
        </w:rPr>
        <w:t>i</w:t>
      </w:r>
      <w:r w:rsidRPr="009E40F4">
        <w:rPr>
          <w:rFonts w:ascii="Open Sans" w:eastAsia="Times New Roman" w:hAnsi="Open Sans" w:cs="Open Sans"/>
          <w:color w:val="444444"/>
          <w:kern w:val="0"/>
          <w:sz w:val="21"/>
          <w:szCs w:val="21"/>
          <w:lang w:eastAsia="ru-RU"/>
          <w14:ligatures w14:val="none"/>
        </w:rPr>
        <w:t>-го (</w:t>
      </w:r>
      <w:r w:rsidRPr="009E40F4">
        <w:rPr>
          <w:rFonts w:ascii="Open Sans" w:eastAsia="Times New Roman" w:hAnsi="Open Sans" w:cs="Open Sans"/>
          <w:i/>
          <w:iCs/>
          <w:color w:val="DD0055"/>
          <w:kern w:val="0"/>
          <w:sz w:val="21"/>
          <w:szCs w:val="21"/>
          <w:lang w:eastAsia="ru-RU"/>
          <w14:ligatures w14:val="none"/>
        </w:rPr>
        <w:t>i</w:t>
      </w:r>
      <w:r w:rsidRPr="009E40F4">
        <w:rPr>
          <w:rFonts w:ascii="Open Sans" w:eastAsia="Times New Roman" w:hAnsi="Open Sans" w:cs="Open Sans"/>
          <w:color w:val="444444"/>
          <w:kern w:val="0"/>
          <w:sz w:val="21"/>
          <w:szCs w:val="21"/>
          <w:lang w:eastAsia="ru-RU"/>
          <w14:ligatures w14:val="none"/>
        </w:rPr>
        <w:t> = 1, </w:t>
      </w:r>
      <w:r w:rsidRPr="009E40F4">
        <w:rPr>
          <w:rFonts w:ascii="Open Sans" w:eastAsia="Times New Roman" w:hAnsi="Open Sans" w:cs="Open Sans"/>
          <w:i/>
          <w:iCs/>
          <w:color w:val="DD0055"/>
          <w:kern w:val="0"/>
          <w:sz w:val="21"/>
          <w:szCs w:val="21"/>
          <w:lang w:eastAsia="ru-RU"/>
          <w14:ligatures w14:val="none"/>
        </w:rPr>
        <w:t>i</w:t>
      </w:r>
      <w:r w:rsidRPr="009E40F4">
        <w:rPr>
          <w:rFonts w:ascii="Open Sans" w:eastAsia="Times New Roman" w:hAnsi="Open Sans" w:cs="Open Sans"/>
          <w:color w:val="444444"/>
          <w:kern w:val="0"/>
          <w:sz w:val="21"/>
          <w:szCs w:val="21"/>
          <w:lang w:eastAsia="ru-RU"/>
          <w14:ligatures w14:val="none"/>
        </w:rPr>
        <w:t>0) единичного показателя </w:t>
      </w:r>
      <w:r w:rsidRPr="009E40F4">
        <w:rPr>
          <w:rFonts w:ascii="Open Sans" w:eastAsia="Times New Roman" w:hAnsi="Open Sans" w:cs="Open Sans"/>
          <w:i/>
          <w:iCs/>
          <w:color w:val="DD0055"/>
          <w:kern w:val="0"/>
          <w:sz w:val="21"/>
          <w:szCs w:val="21"/>
          <w:lang w:eastAsia="ru-RU"/>
          <w14:ligatures w14:val="none"/>
        </w:rPr>
        <w:t>qi</w:t>
      </w:r>
      <w:r w:rsidRPr="009E40F4">
        <w:rPr>
          <w:rFonts w:ascii="Open Sans" w:eastAsia="Times New Roman" w:hAnsi="Open Sans" w:cs="Open Sans"/>
          <w:color w:val="444444"/>
          <w:kern w:val="0"/>
          <w:sz w:val="21"/>
          <w:szCs w:val="21"/>
          <w:lang w:eastAsia="ru-RU"/>
          <w14:ligatures w14:val="none"/>
        </w:rPr>
        <w:t> учитывается коэффициентами весомости </w:t>
      </w:r>
      <w:r w:rsidRPr="009E40F4">
        <w:rPr>
          <w:rFonts w:ascii="Open Sans" w:eastAsia="Times New Roman" w:hAnsi="Open Sans" w:cs="Open Sans"/>
          <w:noProof/>
          <w:color w:val="444444"/>
          <w:kern w:val="0"/>
          <w:sz w:val="21"/>
          <w:szCs w:val="21"/>
          <w:lang w:eastAsia="ru-RU"/>
          <w14:ligatures w14:val="none"/>
        </w:rPr>
        <w:drawing>
          <wp:inline distT="0" distB="0" distL="0" distR="0" wp14:anchorId="0648850D" wp14:editId="5C7B5A4E">
            <wp:extent cx="152400" cy="228600"/>
            <wp:effectExtent l="0" t="0" r="0" b="0"/>
            <wp:docPr id="883539239"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9E40F4">
        <w:rPr>
          <w:rFonts w:ascii="Open Sans" w:eastAsia="Times New Roman" w:hAnsi="Open Sans" w:cs="Open Sans"/>
          <w:color w:val="444444"/>
          <w:kern w:val="0"/>
          <w:sz w:val="21"/>
          <w:szCs w:val="21"/>
          <w:lang w:eastAsia="ru-RU"/>
          <w14:ligatures w14:val="none"/>
        </w:rPr>
        <w:t>, значения которых, как правило, определяют экспертным методом исходя из условия</w:t>
      </w:r>
      <w:r w:rsidRPr="009E40F4">
        <w:rPr>
          <w:rFonts w:ascii="Open Sans" w:eastAsia="Times New Roman" w:hAnsi="Open Sans" w:cs="Open Sans"/>
          <w:color w:val="444444"/>
          <w:kern w:val="0"/>
          <w:sz w:val="21"/>
          <w:szCs w:val="21"/>
          <w:lang w:eastAsia="ru-RU"/>
          <w14:ligatures w14:val="none"/>
        </w:rPr>
        <w:br/>
      </w:r>
      <w:r w:rsidRPr="009E40F4">
        <w:rPr>
          <w:rFonts w:ascii="Open Sans" w:eastAsia="Times New Roman" w:hAnsi="Open Sans" w:cs="Open Sans"/>
          <w:noProof/>
          <w:color w:val="444444"/>
          <w:kern w:val="0"/>
          <w:sz w:val="21"/>
          <w:szCs w:val="21"/>
          <w:lang w:eastAsia="ru-RU"/>
          <w14:ligatures w14:val="none"/>
        </w:rPr>
        <w:drawing>
          <wp:inline distT="0" distB="0" distL="0" distR="0" wp14:anchorId="2724F254" wp14:editId="775F1BAC">
            <wp:extent cx="571500" cy="449580"/>
            <wp:effectExtent l="0" t="0" r="0" b="7620"/>
            <wp:docPr id="1532182683"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00" cy="449580"/>
                    </a:xfrm>
                    <a:prstGeom prst="rect">
                      <a:avLst/>
                    </a:prstGeom>
                    <a:noFill/>
                    <a:ln>
                      <a:noFill/>
                    </a:ln>
                  </pic:spPr>
                </pic:pic>
              </a:graphicData>
            </a:graphic>
          </wp:inline>
        </w:drawing>
      </w:r>
      <w:r w:rsidRPr="009E40F4">
        <w:rPr>
          <w:rFonts w:ascii="Open Sans" w:eastAsia="Times New Roman" w:hAnsi="Open Sans" w:cs="Open Sans"/>
          <w:color w:val="444444"/>
          <w:kern w:val="0"/>
          <w:sz w:val="21"/>
          <w:szCs w:val="21"/>
          <w:lang w:eastAsia="ru-RU"/>
          <w14:ligatures w14:val="none"/>
        </w:rPr>
        <w:br/>
        <w:t>С учетом значений </w:t>
      </w:r>
      <w:r w:rsidRPr="009E40F4">
        <w:rPr>
          <w:rFonts w:ascii="Open Sans" w:eastAsia="Times New Roman" w:hAnsi="Open Sans" w:cs="Open Sans"/>
          <w:noProof/>
          <w:color w:val="444444"/>
          <w:kern w:val="0"/>
          <w:sz w:val="21"/>
          <w:szCs w:val="21"/>
          <w:lang w:eastAsia="ru-RU"/>
          <w14:ligatures w14:val="none"/>
        </w:rPr>
        <w:drawing>
          <wp:inline distT="0" distB="0" distL="0" distR="0" wp14:anchorId="4F71599B" wp14:editId="5F44F7FC">
            <wp:extent cx="152400" cy="228600"/>
            <wp:effectExtent l="0" t="0" r="0" b="0"/>
            <wp:docPr id="1764158236"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9E40F4">
        <w:rPr>
          <w:rFonts w:ascii="Open Sans" w:eastAsia="Times New Roman" w:hAnsi="Open Sans" w:cs="Open Sans"/>
          <w:color w:val="444444"/>
          <w:kern w:val="0"/>
          <w:sz w:val="21"/>
          <w:szCs w:val="21"/>
          <w:lang w:eastAsia="ru-RU"/>
          <w14:ligatures w14:val="none"/>
        </w:rPr>
        <w:t>комплексный показатель </w:t>
      </w:r>
      <w:r w:rsidRPr="009E40F4">
        <w:rPr>
          <w:rFonts w:ascii="Open Sans" w:eastAsia="Times New Roman" w:hAnsi="Open Sans" w:cs="Open Sans"/>
          <w:i/>
          <w:iCs/>
          <w:color w:val="DD0055"/>
          <w:kern w:val="0"/>
          <w:sz w:val="21"/>
          <w:szCs w:val="21"/>
          <w:lang w:eastAsia="ru-RU"/>
          <w14:ligatures w14:val="none"/>
        </w:rPr>
        <w:t>Q</w:t>
      </w:r>
      <w:r w:rsidRPr="009E40F4">
        <w:rPr>
          <w:rFonts w:ascii="Open Sans" w:eastAsia="Times New Roman" w:hAnsi="Open Sans" w:cs="Open Sans"/>
          <w:color w:val="444444"/>
          <w:kern w:val="0"/>
          <w:sz w:val="21"/>
          <w:szCs w:val="21"/>
          <w:lang w:eastAsia="ru-RU"/>
          <w14:ligatures w14:val="none"/>
        </w:rPr>
        <w:t> образуют по принципу среднего взвешенного (табл. 3.1) [23].</w:t>
      </w:r>
      <w:r w:rsidRPr="009E40F4">
        <w:rPr>
          <w:rFonts w:ascii="Open Sans" w:eastAsia="Times New Roman" w:hAnsi="Open Sans" w:cs="Open Sans"/>
          <w:color w:val="444444"/>
          <w:kern w:val="0"/>
          <w:sz w:val="21"/>
          <w:szCs w:val="21"/>
          <w:lang w:eastAsia="ru-RU"/>
          <w14:ligatures w14:val="none"/>
        </w:rPr>
        <w:br/>
        <w:t>В комплексных показателях низкие значения одних единичных показателей могут компенсироваться высокими значениями других. Очевидно, что недопустимо компенсировать низкие значения главных, важнейших единичных показателей качества высокими значениями второстепенных. Для исключения такой возможности комплексный показатель качества </w:t>
      </w:r>
      <w:r w:rsidRPr="009E40F4">
        <w:rPr>
          <w:rFonts w:ascii="Open Sans" w:eastAsia="Times New Roman" w:hAnsi="Open Sans" w:cs="Open Sans"/>
          <w:i/>
          <w:iCs/>
          <w:color w:val="DD0055"/>
          <w:kern w:val="0"/>
          <w:sz w:val="21"/>
          <w:szCs w:val="21"/>
          <w:lang w:eastAsia="ru-RU"/>
          <w14:ligatures w14:val="none"/>
        </w:rPr>
        <w:t>Q</w:t>
      </w:r>
      <w:r w:rsidRPr="009E40F4">
        <w:rPr>
          <w:rFonts w:ascii="Open Sans" w:eastAsia="Times New Roman" w:hAnsi="Open Sans" w:cs="Open Sans"/>
          <w:color w:val="444444"/>
          <w:kern w:val="0"/>
          <w:sz w:val="21"/>
          <w:szCs w:val="21"/>
          <w:lang w:eastAsia="ru-RU"/>
          <w14:ligatures w14:val="none"/>
        </w:rPr>
        <w:t> умножают на </w:t>
      </w:r>
      <w:r w:rsidRPr="009E40F4">
        <w:rPr>
          <w:rFonts w:ascii="Open Sans" w:eastAsia="Times New Roman" w:hAnsi="Open Sans" w:cs="Open Sans"/>
          <w:i/>
          <w:iCs/>
          <w:color w:val="DD0055"/>
          <w:kern w:val="0"/>
          <w:sz w:val="21"/>
          <w:szCs w:val="21"/>
          <w:lang w:eastAsia="ru-RU"/>
          <w14:ligatures w14:val="none"/>
        </w:rPr>
        <w:t>коэффициент вето</w:t>
      </w:r>
      <w:r w:rsidRPr="009E40F4">
        <w:rPr>
          <w:rFonts w:ascii="Open Sans" w:eastAsia="Times New Roman" w:hAnsi="Open Sans" w:cs="Open Sans"/>
          <w:color w:val="444444"/>
          <w:kern w:val="0"/>
          <w:sz w:val="21"/>
          <w:szCs w:val="21"/>
          <w:lang w:eastAsia="ru-RU"/>
          <w14:ligatures w14:val="none"/>
        </w:rPr>
        <w:t>, обращающийся в 0 при выходе любого из важнейших единичных показателей за допустимые пределы и равный 1 во всех остальных случаях. Благодаря этому Q = 0, если хотя бы один из важнейших единичных показателей оказывается неприемлемым. Рассмотренный экспертный метод определения комплексного показателя качества целесообразно использовать при проектировании средств НК.</w:t>
      </w:r>
    </w:p>
    <w:p w14:paraId="75CD459D" w14:textId="77777777" w:rsidR="009E40F4" w:rsidRPr="009E40F4" w:rsidRDefault="009E40F4" w:rsidP="009E40F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color w:val="444444"/>
          <w:kern w:val="0"/>
          <w:sz w:val="21"/>
          <w:szCs w:val="21"/>
          <w:lang w:eastAsia="ru-RU"/>
          <w14:ligatures w14:val="none"/>
        </w:rPr>
        <w:t>Таблица 3.1</w:t>
      </w:r>
      <w:r w:rsidRPr="009E40F4">
        <w:rPr>
          <w:rFonts w:ascii="Open Sans" w:eastAsia="Times New Roman" w:hAnsi="Open Sans" w:cs="Open Sans"/>
          <w:color w:val="444444"/>
          <w:kern w:val="0"/>
          <w:sz w:val="21"/>
          <w:szCs w:val="21"/>
          <w:lang w:eastAsia="ru-RU"/>
          <w14:ligatures w14:val="none"/>
        </w:rPr>
        <w:br/>
        <w:t>Формулы для расчета комплексного показателя качества [23]</w:t>
      </w:r>
    </w:p>
    <w:tbl>
      <w:tblPr>
        <w:tblW w:w="0" w:type="auto"/>
        <w:shd w:val="clear" w:color="auto" w:fill="FFFFFF"/>
        <w:tblCellMar>
          <w:left w:w="0" w:type="dxa"/>
          <w:right w:w="0" w:type="dxa"/>
        </w:tblCellMar>
        <w:tblLook w:val="04A0" w:firstRow="1" w:lastRow="0" w:firstColumn="1" w:lastColumn="0" w:noHBand="0" w:noVBand="1"/>
      </w:tblPr>
      <w:tblGrid>
        <w:gridCol w:w="3147"/>
        <w:gridCol w:w="3020"/>
        <w:gridCol w:w="3188"/>
      </w:tblGrid>
      <w:tr w:rsidR="009E40F4" w:rsidRPr="009E40F4" w14:paraId="5FE02FB4" w14:textId="77777777" w:rsidTr="009E40F4">
        <w:tc>
          <w:tcPr>
            <w:tcW w:w="3405" w:type="dxa"/>
            <w:shd w:val="clear" w:color="auto" w:fill="FFFFFF"/>
            <w:hideMark/>
          </w:tcPr>
          <w:p w14:paraId="5EF4862E" w14:textId="77777777" w:rsidR="009E40F4" w:rsidRPr="009E40F4" w:rsidRDefault="009E40F4" w:rsidP="009E40F4">
            <w:pPr>
              <w:spacing w:after="0" w:line="240" w:lineRule="auto"/>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color w:val="444444"/>
                <w:kern w:val="0"/>
                <w:sz w:val="21"/>
                <w:szCs w:val="21"/>
                <w:lang w:eastAsia="ru-RU"/>
                <w14:ligatures w14:val="none"/>
              </w:rPr>
              <w:br/>
              <w:t>Наименование комплексного показателя качества</w:t>
            </w:r>
          </w:p>
        </w:tc>
        <w:tc>
          <w:tcPr>
            <w:tcW w:w="3255" w:type="dxa"/>
            <w:shd w:val="clear" w:color="auto" w:fill="FFFFFF"/>
            <w:hideMark/>
          </w:tcPr>
          <w:p w14:paraId="65CC6D26" w14:textId="77777777" w:rsidR="009E40F4" w:rsidRPr="009E40F4" w:rsidRDefault="009E40F4" w:rsidP="009E40F4">
            <w:pPr>
              <w:spacing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color w:val="444444"/>
                <w:kern w:val="0"/>
                <w:sz w:val="21"/>
                <w:szCs w:val="21"/>
                <w:lang w:eastAsia="ru-RU"/>
                <w14:ligatures w14:val="none"/>
              </w:rPr>
              <w:t>Математическое выражение</w:t>
            </w:r>
          </w:p>
        </w:tc>
        <w:tc>
          <w:tcPr>
            <w:tcW w:w="3405" w:type="dxa"/>
            <w:shd w:val="clear" w:color="auto" w:fill="FFFFFF"/>
            <w:hideMark/>
          </w:tcPr>
          <w:p w14:paraId="6E842DDB" w14:textId="77777777" w:rsidR="009E40F4" w:rsidRPr="009E40F4" w:rsidRDefault="009E40F4" w:rsidP="009E40F4">
            <w:pPr>
              <w:spacing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color w:val="444444"/>
                <w:kern w:val="0"/>
                <w:sz w:val="21"/>
                <w:szCs w:val="21"/>
                <w:lang w:eastAsia="ru-RU"/>
                <w14:ligatures w14:val="none"/>
              </w:rPr>
              <w:t>Примечание</w:t>
            </w:r>
          </w:p>
        </w:tc>
      </w:tr>
      <w:tr w:rsidR="009E40F4" w:rsidRPr="009E40F4" w14:paraId="522F8374" w14:textId="77777777" w:rsidTr="009E40F4">
        <w:tc>
          <w:tcPr>
            <w:tcW w:w="3405" w:type="dxa"/>
            <w:shd w:val="clear" w:color="auto" w:fill="FFFFFF"/>
            <w:hideMark/>
          </w:tcPr>
          <w:p w14:paraId="3693040D" w14:textId="77777777" w:rsidR="009E40F4" w:rsidRPr="009E40F4" w:rsidRDefault="009E40F4" w:rsidP="009E40F4">
            <w:pPr>
              <w:spacing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color w:val="444444"/>
                <w:kern w:val="0"/>
                <w:sz w:val="21"/>
                <w:szCs w:val="21"/>
                <w:lang w:eastAsia="ru-RU"/>
                <w14:ligatures w14:val="none"/>
              </w:rPr>
              <w:t>Среднее арифметическое взвешенное</w:t>
            </w:r>
          </w:p>
        </w:tc>
        <w:tc>
          <w:tcPr>
            <w:tcW w:w="3255" w:type="dxa"/>
            <w:shd w:val="clear" w:color="auto" w:fill="FFFFFF"/>
            <w:hideMark/>
          </w:tcPr>
          <w:p w14:paraId="410F43A2" w14:textId="64735014" w:rsidR="009E40F4" w:rsidRPr="009E40F4" w:rsidRDefault="009E40F4" w:rsidP="009E40F4">
            <w:pPr>
              <w:spacing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noProof/>
                <w:color w:val="444444"/>
                <w:kern w:val="0"/>
                <w:sz w:val="21"/>
                <w:szCs w:val="21"/>
                <w:lang w:eastAsia="ru-RU"/>
                <w14:ligatures w14:val="none"/>
              </w:rPr>
              <w:drawing>
                <wp:inline distT="0" distB="0" distL="0" distR="0" wp14:anchorId="4A876806" wp14:editId="28B936AD">
                  <wp:extent cx="723900" cy="449580"/>
                  <wp:effectExtent l="0" t="0" r="0" b="7620"/>
                  <wp:docPr id="560616051"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23900" cy="449580"/>
                          </a:xfrm>
                          <a:prstGeom prst="rect">
                            <a:avLst/>
                          </a:prstGeom>
                          <a:noFill/>
                          <a:ln>
                            <a:noFill/>
                          </a:ln>
                        </pic:spPr>
                      </pic:pic>
                    </a:graphicData>
                  </a:graphic>
                </wp:inline>
              </w:drawing>
            </w:r>
          </w:p>
        </w:tc>
        <w:tc>
          <w:tcPr>
            <w:tcW w:w="3405" w:type="dxa"/>
            <w:shd w:val="clear" w:color="auto" w:fill="FFFFFF"/>
            <w:hideMark/>
          </w:tcPr>
          <w:p w14:paraId="01A280B0" w14:textId="77777777" w:rsidR="009E40F4" w:rsidRPr="009E40F4" w:rsidRDefault="009E40F4" w:rsidP="009E40F4">
            <w:pPr>
              <w:spacing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color w:val="444444"/>
                <w:kern w:val="0"/>
                <w:sz w:val="21"/>
                <w:szCs w:val="21"/>
                <w:lang w:eastAsia="ru-RU"/>
                <w14:ligatures w14:val="none"/>
              </w:rPr>
              <w:t>Используют, когда объединяются однородные единичные показатели, а разброс между слагаемыми невелик</w:t>
            </w:r>
          </w:p>
        </w:tc>
      </w:tr>
      <w:tr w:rsidR="009E40F4" w:rsidRPr="009E40F4" w14:paraId="53FD65E9" w14:textId="77777777" w:rsidTr="009E40F4">
        <w:tc>
          <w:tcPr>
            <w:tcW w:w="3405" w:type="dxa"/>
            <w:shd w:val="clear" w:color="auto" w:fill="FFFFFF"/>
            <w:hideMark/>
          </w:tcPr>
          <w:p w14:paraId="03D2D6BB" w14:textId="77777777" w:rsidR="009E40F4" w:rsidRPr="009E40F4" w:rsidRDefault="009E40F4" w:rsidP="009E40F4">
            <w:pPr>
              <w:spacing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color w:val="444444"/>
                <w:kern w:val="0"/>
                <w:sz w:val="21"/>
                <w:szCs w:val="21"/>
                <w:lang w:eastAsia="ru-RU"/>
                <w14:ligatures w14:val="none"/>
              </w:rPr>
              <w:lastRenderedPageBreak/>
              <w:t>Среднее гармоническое взвешенное</w:t>
            </w:r>
          </w:p>
        </w:tc>
        <w:tc>
          <w:tcPr>
            <w:tcW w:w="3255" w:type="dxa"/>
            <w:shd w:val="clear" w:color="auto" w:fill="FFFFFF"/>
            <w:hideMark/>
          </w:tcPr>
          <w:p w14:paraId="4A847DDA" w14:textId="1576EB95" w:rsidR="009E40F4" w:rsidRPr="009E40F4" w:rsidRDefault="009E40F4" w:rsidP="009E40F4">
            <w:pPr>
              <w:spacing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noProof/>
                <w:color w:val="444444"/>
                <w:kern w:val="0"/>
                <w:sz w:val="21"/>
                <w:szCs w:val="21"/>
                <w:lang w:eastAsia="ru-RU"/>
                <w14:ligatures w14:val="none"/>
              </w:rPr>
              <w:drawing>
                <wp:inline distT="0" distB="0" distL="0" distR="0" wp14:anchorId="47AE8A6B" wp14:editId="49607BB7">
                  <wp:extent cx="845820" cy="868680"/>
                  <wp:effectExtent l="0" t="0" r="0" b="7620"/>
                  <wp:docPr id="1459069298" name="Рисунок 8" descr="Изображение выглядит как темнота, снимок экрана, черный, све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069298" name="Рисунок 8" descr="Изображение выглядит как темнота, снимок экрана, черный, свет&#10;&#10;Автоматически созданное описание"/>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45820" cy="868680"/>
                          </a:xfrm>
                          <a:prstGeom prst="rect">
                            <a:avLst/>
                          </a:prstGeom>
                          <a:noFill/>
                          <a:ln>
                            <a:noFill/>
                          </a:ln>
                        </pic:spPr>
                      </pic:pic>
                    </a:graphicData>
                  </a:graphic>
                </wp:inline>
              </w:drawing>
            </w:r>
          </w:p>
        </w:tc>
        <w:tc>
          <w:tcPr>
            <w:tcW w:w="3405" w:type="dxa"/>
            <w:shd w:val="clear" w:color="auto" w:fill="FFFFFF"/>
            <w:hideMark/>
          </w:tcPr>
          <w:p w14:paraId="57DCFDB1" w14:textId="77777777" w:rsidR="009E40F4" w:rsidRPr="009E40F4" w:rsidRDefault="009E40F4" w:rsidP="009E40F4">
            <w:pPr>
              <w:spacing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color w:val="444444"/>
                <w:kern w:val="0"/>
                <w:sz w:val="21"/>
                <w:szCs w:val="21"/>
                <w:lang w:eastAsia="ru-RU"/>
                <w14:ligatures w14:val="none"/>
              </w:rPr>
              <w:t>То же, но разброс между слагаемыми более значительный</w:t>
            </w:r>
          </w:p>
        </w:tc>
      </w:tr>
      <w:tr w:rsidR="009E40F4" w:rsidRPr="009E40F4" w14:paraId="224D8EC9" w14:textId="77777777" w:rsidTr="009E40F4">
        <w:tc>
          <w:tcPr>
            <w:tcW w:w="3405" w:type="dxa"/>
            <w:shd w:val="clear" w:color="auto" w:fill="FFFFFF"/>
            <w:hideMark/>
          </w:tcPr>
          <w:p w14:paraId="3B3B8A17" w14:textId="77777777" w:rsidR="009E40F4" w:rsidRPr="009E40F4" w:rsidRDefault="009E40F4" w:rsidP="009E40F4">
            <w:pPr>
              <w:spacing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color w:val="444444"/>
                <w:kern w:val="0"/>
                <w:sz w:val="21"/>
                <w:szCs w:val="21"/>
                <w:lang w:eastAsia="ru-RU"/>
                <w14:ligatures w14:val="none"/>
              </w:rPr>
              <w:t>Среднее квадратическое взвешенное</w:t>
            </w:r>
          </w:p>
        </w:tc>
        <w:tc>
          <w:tcPr>
            <w:tcW w:w="3255" w:type="dxa"/>
            <w:shd w:val="clear" w:color="auto" w:fill="FFFFFF"/>
            <w:hideMark/>
          </w:tcPr>
          <w:p w14:paraId="762D6427" w14:textId="5F73A210" w:rsidR="009E40F4" w:rsidRPr="009E40F4" w:rsidRDefault="009E40F4" w:rsidP="009E40F4">
            <w:pPr>
              <w:spacing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noProof/>
                <w:color w:val="444444"/>
                <w:kern w:val="0"/>
                <w:sz w:val="21"/>
                <w:szCs w:val="21"/>
                <w:lang w:eastAsia="ru-RU"/>
                <w14:ligatures w14:val="none"/>
              </w:rPr>
              <w:drawing>
                <wp:inline distT="0" distB="0" distL="0" distR="0" wp14:anchorId="0E00F55A" wp14:editId="1DB90EA5">
                  <wp:extent cx="784860" cy="441960"/>
                  <wp:effectExtent l="0" t="0" r="0" b="0"/>
                  <wp:docPr id="285963854"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84860" cy="441960"/>
                          </a:xfrm>
                          <a:prstGeom prst="rect">
                            <a:avLst/>
                          </a:prstGeom>
                          <a:noFill/>
                          <a:ln>
                            <a:noFill/>
                          </a:ln>
                        </pic:spPr>
                      </pic:pic>
                    </a:graphicData>
                  </a:graphic>
                </wp:inline>
              </w:drawing>
            </w:r>
          </w:p>
        </w:tc>
        <w:tc>
          <w:tcPr>
            <w:tcW w:w="3405" w:type="dxa"/>
            <w:shd w:val="clear" w:color="auto" w:fill="FFFFFF"/>
            <w:hideMark/>
          </w:tcPr>
          <w:p w14:paraId="4668172A" w14:textId="77777777" w:rsidR="009E40F4" w:rsidRPr="009E40F4" w:rsidRDefault="009E40F4" w:rsidP="009E40F4">
            <w:pPr>
              <w:spacing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color w:val="444444"/>
                <w:kern w:val="0"/>
                <w:sz w:val="21"/>
                <w:szCs w:val="21"/>
                <w:lang w:eastAsia="ru-RU"/>
                <w14:ligatures w14:val="none"/>
              </w:rPr>
              <w:t> </w:t>
            </w:r>
          </w:p>
        </w:tc>
      </w:tr>
      <w:tr w:rsidR="009E40F4" w:rsidRPr="009E40F4" w14:paraId="4AE8D66E" w14:textId="77777777" w:rsidTr="009E40F4">
        <w:tc>
          <w:tcPr>
            <w:tcW w:w="3405" w:type="dxa"/>
            <w:shd w:val="clear" w:color="auto" w:fill="FFFFFF"/>
            <w:hideMark/>
          </w:tcPr>
          <w:p w14:paraId="146B7769" w14:textId="77777777" w:rsidR="009E40F4" w:rsidRPr="009E40F4" w:rsidRDefault="009E40F4" w:rsidP="009E40F4">
            <w:pPr>
              <w:spacing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color w:val="444444"/>
                <w:kern w:val="0"/>
                <w:sz w:val="21"/>
                <w:szCs w:val="21"/>
                <w:lang w:eastAsia="ru-RU"/>
                <w14:ligatures w14:val="none"/>
              </w:rPr>
              <w:t>Среднее геометрическое взвешенное</w:t>
            </w:r>
          </w:p>
        </w:tc>
        <w:tc>
          <w:tcPr>
            <w:tcW w:w="3255" w:type="dxa"/>
            <w:shd w:val="clear" w:color="auto" w:fill="FFFFFF"/>
            <w:hideMark/>
          </w:tcPr>
          <w:p w14:paraId="79D0A812" w14:textId="5403D752" w:rsidR="009E40F4" w:rsidRPr="009E40F4" w:rsidRDefault="009E40F4" w:rsidP="009E40F4">
            <w:pPr>
              <w:spacing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noProof/>
                <w:color w:val="444444"/>
                <w:kern w:val="0"/>
                <w:sz w:val="21"/>
                <w:szCs w:val="21"/>
                <w:lang w:eastAsia="ru-RU"/>
                <w14:ligatures w14:val="none"/>
              </w:rPr>
              <w:drawing>
                <wp:inline distT="0" distB="0" distL="0" distR="0" wp14:anchorId="55D1464D" wp14:editId="04693ADD">
                  <wp:extent cx="723900" cy="464820"/>
                  <wp:effectExtent l="0" t="0" r="0" b="0"/>
                  <wp:docPr id="1238124278"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464820"/>
                          </a:xfrm>
                          <a:prstGeom prst="rect">
                            <a:avLst/>
                          </a:prstGeom>
                          <a:noFill/>
                          <a:ln>
                            <a:noFill/>
                          </a:ln>
                        </pic:spPr>
                      </pic:pic>
                    </a:graphicData>
                  </a:graphic>
                </wp:inline>
              </w:drawing>
            </w:r>
          </w:p>
        </w:tc>
        <w:tc>
          <w:tcPr>
            <w:tcW w:w="3405" w:type="dxa"/>
            <w:shd w:val="clear" w:color="auto" w:fill="FFFFFF"/>
            <w:hideMark/>
          </w:tcPr>
          <w:p w14:paraId="54CCABD4" w14:textId="77777777" w:rsidR="009E40F4" w:rsidRPr="009E40F4" w:rsidRDefault="009E40F4" w:rsidP="009E40F4">
            <w:pPr>
              <w:spacing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color w:val="444444"/>
                <w:kern w:val="0"/>
                <w:sz w:val="21"/>
                <w:szCs w:val="21"/>
                <w:lang w:eastAsia="ru-RU"/>
                <w14:ligatures w14:val="none"/>
              </w:rPr>
              <w:t>Используют при комплексировании неоднородных единичных показателей, в том числе разнородной продукции</w:t>
            </w:r>
          </w:p>
        </w:tc>
      </w:tr>
    </w:tbl>
    <w:p w14:paraId="617721CF" w14:textId="77777777" w:rsidR="009E40F4" w:rsidRPr="009E40F4" w:rsidRDefault="009E40F4" w:rsidP="009E40F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color w:val="444444"/>
          <w:kern w:val="0"/>
          <w:sz w:val="21"/>
          <w:szCs w:val="21"/>
          <w:lang w:eastAsia="ru-RU"/>
          <w14:ligatures w14:val="none"/>
        </w:rPr>
        <w:t>По возможности для измерения следует использовать технические средства. Методы измерения с применением технических средств называют инструментальными. Среди них могут быть автоматизированные и автоматические. Последние выполняются без участия человека, объективный результат измерения представляется в форме документа.</w:t>
      </w:r>
      <w:r w:rsidRPr="009E40F4">
        <w:rPr>
          <w:rFonts w:ascii="Open Sans" w:eastAsia="Times New Roman" w:hAnsi="Open Sans" w:cs="Open Sans"/>
          <w:color w:val="444444"/>
          <w:kern w:val="0"/>
          <w:sz w:val="21"/>
          <w:szCs w:val="21"/>
          <w:lang w:eastAsia="ru-RU"/>
          <w14:ligatures w14:val="none"/>
        </w:rPr>
        <w:br/>
        <w:t>Для измерения физических свойств (величин) необходимо прежде всего обнаружить эти свойства. Технические устройства, предназначенные для обнаружения (индикации) физических свойств, называют индикаторными. Так, магнитопорошковый дефектоскоп, который позволяет фиксировать по скоплению порошка поле рассеяния, обусловленное дефектом, представляет собой индикатор. Порог реагирования (порог чувствительности) — важнейшая техническая характеристика индикаторов.</w:t>
      </w:r>
      <w:r w:rsidRPr="009E40F4">
        <w:rPr>
          <w:rFonts w:ascii="Open Sans" w:eastAsia="Times New Roman" w:hAnsi="Open Sans" w:cs="Open Sans"/>
          <w:color w:val="444444"/>
          <w:kern w:val="0"/>
          <w:sz w:val="21"/>
          <w:szCs w:val="21"/>
          <w:lang w:eastAsia="ru-RU"/>
          <w14:ligatures w14:val="none"/>
        </w:rPr>
        <w:br/>
        <w:t>Для измерения физической величины необходимо сравнить ее размер с известным и выразить первый через второй в кратном или дольном отношении. Если физическая величина известного размера отсутствует, то сравнивается реакция (отклик) прибора на воздействие измеряемой величины с проявившейся ранее реакцией на воздействие той же величины, но известного размера. Например, по образцу (эталону) определяют лучевой размер дефекта, выявленного при рентгенографировании. По такой методике измеряют эквивалентную площадь дефектов, обнаруженных эхо-импульсным методом ультразвуковой дефектоскопии.</w:t>
      </w:r>
      <w:r w:rsidRPr="009E40F4">
        <w:rPr>
          <w:rFonts w:ascii="Open Sans" w:eastAsia="Times New Roman" w:hAnsi="Open Sans" w:cs="Open Sans"/>
          <w:color w:val="444444"/>
          <w:kern w:val="0"/>
          <w:sz w:val="21"/>
          <w:szCs w:val="21"/>
          <w:lang w:eastAsia="ru-RU"/>
          <w14:ligatures w14:val="none"/>
        </w:rPr>
        <w:br/>
        <w:t>Все технические средства, используемые при измерениях и имеющие нормированные метрологические характеристики, называют средствами измерений. В НК к средствам измерения относятся стандартные образцы, преобразователи, измерительные приборы (дефектоскопы) и установки НК.</w:t>
      </w:r>
      <w:r w:rsidRPr="009E40F4">
        <w:rPr>
          <w:rFonts w:ascii="Open Sans" w:eastAsia="Times New Roman" w:hAnsi="Open Sans" w:cs="Open Sans"/>
          <w:color w:val="444444"/>
          <w:kern w:val="0"/>
          <w:sz w:val="21"/>
          <w:szCs w:val="21"/>
          <w:lang w:eastAsia="ru-RU"/>
          <w14:ligatures w14:val="none"/>
        </w:rPr>
        <w:br/>
        <w:t>Стандартные образцы предназначены для воспроизведения физической величины заданного размера, который характеризуется так называемым номинальным значением. При условии, что указывается точность, с которой воспроизводится номинальное значение физической величины, образцовый (эталонный) отражатель в стандартном образце для ультразвукового контроля является, мерой эквивалентной площади дефекта, канавки в стандартном образце для рентгенографического контроля — мерой геометрического размера дефекта и т.п.</w:t>
      </w:r>
      <w:r w:rsidRPr="009E40F4">
        <w:rPr>
          <w:rFonts w:ascii="Open Sans" w:eastAsia="Times New Roman" w:hAnsi="Open Sans" w:cs="Open Sans"/>
          <w:color w:val="444444"/>
          <w:kern w:val="0"/>
          <w:sz w:val="21"/>
          <w:szCs w:val="21"/>
          <w:lang w:eastAsia="ru-RU"/>
          <w14:ligatures w14:val="none"/>
        </w:rPr>
        <w:br/>
        <w:t>Преобразователи (детекторы) — это средства измерений, вырабатывающие информацию, удобную для дальнейшей обработки, но, как правило, недоступную для непосредственного восприятия оператором. Например, преобразователи в ультразвуковом контроле преобразуют акустическое давление в электрическое напряжение, а в рентгенографическом — интенсивность рентгеновского излучения в видимую плотность потемнения рентгеновской пленки.</w:t>
      </w:r>
      <w:r w:rsidRPr="009E40F4">
        <w:rPr>
          <w:rFonts w:ascii="Open Sans" w:eastAsia="Times New Roman" w:hAnsi="Open Sans" w:cs="Open Sans"/>
          <w:color w:val="444444"/>
          <w:kern w:val="0"/>
          <w:sz w:val="21"/>
          <w:szCs w:val="21"/>
          <w:lang w:eastAsia="ru-RU"/>
          <w14:ligatures w14:val="none"/>
        </w:rPr>
        <w:br/>
      </w:r>
      <w:r w:rsidRPr="009E40F4">
        <w:rPr>
          <w:rFonts w:ascii="Open Sans" w:eastAsia="Times New Roman" w:hAnsi="Open Sans" w:cs="Open Sans"/>
          <w:color w:val="444444"/>
          <w:kern w:val="0"/>
          <w:sz w:val="21"/>
          <w:szCs w:val="21"/>
          <w:lang w:eastAsia="ru-RU"/>
          <w14:ligatures w14:val="none"/>
        </w:rPr>
        <w:lastRenderedPageBreak/>
        <w:t>Дефектоскопы (или измерительные приборы НК) представляют собой совокупность элементов, создающих проникающие поля (вещества) и обрабатывающих информацию с выхода преобразователя, и отсчетное устройство, часто называемое индикатором дефектоскопа.</w:t>
      </w:r>
      <w:r w:rsidRPr="009E40F4">
        <w:rPr>
          <w:rFonts w:ascii="Open Sans" w:eastAsia="Times New Roman" w:hAnsi="Open Sans" w:cs="Open Sans"/>
          <w:color w:val="444444"/>
          <w:kern w:val="0"/>
          <w:sz w:val="21"/>
          <w:szCs w:val="21"/>
          <w:lang w:eastAsia="ru-RU"/>
          <w14:ligatures w14:val="none"/>
        </w:rPr>
        <w:br/>
        <w:t>Каждому средству измерений присущи определенные технические характеристики, обусловливающие результат и точность измерений — метрологические характеристики. Номенклатура и номинальные значения метрологических характеристик и пределы допустимых отклонений от номинальных значений приводятся в разрабатываемой технологической и эксплуатационной документации на средства измерения. Соответствие метрологических характеристик установленным должно систематически проверяться метрологическими органами. Такая проверка с целью установления пригодности средств измерений к использованию называется поверкой.</w:t>
      </w:r>
      <w:r w:rsidRPr="009E40F4">
        <w:rPr>
          <w:rFonts w:ascii="Open Sans" w:eastAsia="Times New Roman" w:hAnsi="Open Sans" w:cs="Open Sans"/>
          <w:color w:val="444444"/>
          <w:kern w:val="0"/>
          <w:sz w:val="21"/>
          <w:szCs w:val="21"/>
          <w:lang w:eastAsia="ru-RU"/>
          <w14:ligatures w14:val="none"/>
        </w:rPr>
        <w:br/>
        <w:t>Большинство средств НК относится к классу средств измерения и поэтому подлежит поверке. Для поверки средств НК должны быть предусмотрены соответствующие средства и методики поверки, т.е. стандартные образцы, преобразователи, дефектоскопы и установки (исключая индикаторы дефектов) должны быть метрологически обеспечены. Методики поверки регламентируются соответствующими документами, основополагающими из которых являются стандарты.</w:t>
      </w:r>
      <w:r w:rsidRPr="009E40F4">
        <w:rPr>
          <w:rFonts w:ascii="Open Sans" w:eastAsia="Times New Roman" w:hAnsi="Open Sans" w:cs="Open Sans"/>
          <w:color w:val="444444"/>
          <w:kern w:val="0"/>
          <w:sz w:val="21"/>
          <w:szCs w:val="21"/>
          <w:lang w:eastAsia="ru-RU"/>
          <w14:ligatures w14:val="none"/>
        </w:rPr>
        <w:br/>
        <w:t>Стандартизация — более широкое понятие, чем регламентация метрологической деятельности. Под стандартизацией понимается работа по установлению и применению правил с целью упорядочения деятельности в конкретной области на пользу и при участии всех заинтересованных сторон и, в частности, для достижения всеобщей оптимальной экономии, принимая во внимание рабочие условия и требования техники безопасности [23]. В связи с этим стандартизация средств НК, как будет показано ниже, не ограничивается вопросами только метрологического обеспечения средств как измерительных приборов.</w:t>
      </w:r>
      <w:r w:rsidRPr="009E40F4">
        <w:rPr>
          <w:rFonts w:ascii="Open Sans" w:eastAsia="Times New Roman" w:hAnsi="Open Sans" w:cs="Open Sans"/>
          <w:color w:val="444444"/>
          <w:kern w:val="0"/>
          <w:sz w:val="21"/>
          <w:szCs w:val="21"/>
          <w:lang w:eastAsia="ru-RU"/>
          <w14:ligatures w14:val="none"/>
        </w:rPr>
        <w:br/>
        <w:t>Для достижения высокой достоверности результатов НК необходимо также регламентировать (стандартизировать) и метрологически обеспечивать весь процесс контроля, начиная от подготовки объекта и аппаратуры к контролю и кончая алгоритмом принятия решения о качестве объекта по результатам контроля.</w:t>
      </w:r>
      <w:r w:rsidRPr="009E40F4">
        <w:rPr>
          <w:rFonts w:ascii="Open Sans" w:eastAsia="Times New Roman" w:hAnsi="Open Sans" w:cs="Open Sans"/>
          <w:color w:val="444444"/>
          <w:kern w:val="0"/>
          <w:sz w:val="21"/>
          <w:szCs w:val="21"/>
          <w:lang w:eastAsia="ru-RU"/>
          <w14:ligatures w14:val="none"/>
        </w:rPr>
        <w:br/>
        <w:t>Систему НК следует рассматривать, как эвристический измерительный комплекс, результаты измерения которым всецело определяются квалификацией, навыками и индивидуальными особенностями операторов. Поэтому стандартизация учебных планов и программ подготовки специалистов НК и порядка их аттестации с использованием специальных средств измерения должна рассматриваться как обязательная и неотъемлемая часть стандартизации и метрологического обеспечения НК в целом.</w:t>
      </w:r>
      <w:r w:rsidRPr="009E40F4">
        <w:rPr>
          <w:rFonts w:ascii="Open Sans" w:eastAsia="Times New Roman" w:hAnsi="Open Sans" w:cs="Open Sans"/>
          <w:color w:val="444444"/>
          <w:kern w:val="0"/>
          <w:sz w:val="21"/>
          <w:szCs w:val="21"/>
          <w:lang w:eastAsia="ru-RU"/>
          <w14:ligatures w14:val="none"/>
        </w:rPr>
        <w:br/>
        <w:t>Вклад НК в формирование качества продукции в любом случае обусловливается, во-первых, тем, насколько верно определены показатели качества продукции и их критические (браковочные) значения, и, во-вторых, тем, в какой степени при этом учтены возможности методов НК. Показатели качества и общие правила контроля качества продукции должны оговариваться в стандартах на продукцию. Вклад НК в формирование качества продукции может быть повышен, если статистические данные НК изготавливаемой продукции использовать для регулирования технологического процесса производства, а эксплуатируемой — для уточнения браковочных значений показателей качества и регулирования технологического процесса эксплуатации. С учетом изложенного видно, что система стандартизации и метрологического обеспечения НК функционально связана со стандартизацией и метрологическим обеспечением показателей качества продукции и регулирования технологических процессов (рис. 3.1).</w:t>
      </w:r>
      <w:r w:rsidRPr="009E40F4">
        <w:rPr>
          <w:rFonts w:ascii="Open Sans" w:eastAsia="Times New Roman" w:hAnsi="Open Sans" w:cs="Open Sans"/>
          <w:color w:val="444444"/>
          <w:kern w:val="0"/>
          <w:sz w:val="21"/>
          <w:szCs w:val="21"/>
          <w:lang w:eastAsia="ru-RU"/>
          <w14:ligatures w14:val="none"/>
        </w:rPr>
        <w:br/>
        <w:t>Вопросы стандартизации и метрологического обеспечения регламентируются нормативно-технической документацией.</w:t>
      </w:r>
    </w:p>
    <w:p w14:paraId="3258F8F6" w14:textId="41BECC5C" w:rsidR="009E40F4" w:rsidRPr="009E40F4" w:rsidRDefault="009E40F4" w:rsidP="009E40F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noProof/>
          <w:color w:val="444444"/>
          <w:kern w:val="0"/>
          <w:sz w:val="21"/>
          <w:szCs w:val="21"/>
          <w:lang w:eastAsia="ru-RU"/>
          <w14:ligatures w14:val="none"/>
        </w:rPr>
        <w:lastRenderedPageBreak/>
        <w:drawing>
          <wp:inline distT="0" distB="0" distL="0" distR="0" wp14:anchorId="5882D22F" wp14:editId="50435272">
            <wp:extent cx="4564380" cy="3078480"/>
            <wp:effectExtent l="0" t="0" r="7620" b="7620"/>
            <wp:docPr id="1662548933" name="Рисунок 5" descr="Изображение выглядит как текст, диаграмма, зарисовка, Параллельный&#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2548933" name="Рисунок 5" descr="Изображение выглядит как текст, диаграмма, зарисовка, Параллельный&#10;&#10;Автоматически созданное описание"/>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64380" cy="3078480"/>
                    </a:xfrm>
                    <a:prstGeom prst="rect">
                      <a:avLst/>
                    </a:prstGeom>
                    <a:noFill/>
                    <a:ln>
                      <a:noFill/>
                    </a:ln>
                  </pic:spPr>
                </pic:pic>
              </a:graphicData>
            </a:graphic>
          </wp:inline>
        </w:drawing>
      </w:r>
      <w:r w:rsidRPr="009E40F4">
        <w:rPr>
          <w:rFonts w:ascii="Open Sans" w:eastAsia="Times New Roman" w:hAnsi="Open Sans" w:cs="Open Sans"/>
          <w:color w:val="444444"/>
          <w:kern w:val="0"/>
          <w:sz w:val="21"/>
          <w:szCs w:val="21"/>
          <w:lang w:eastAsia="ru-RU"/>
          <w14:ligatures w14:val="none"/>
        </w:rPr>
        <w:br/>
        <w:t>Рис. 3.1. Функциональная схема стандартизации и</w:t>
      </w:r>
      <w:r w:rsidRPr="009E40F4">
        <w:rPr>
          <w:rFonts w:ascii="Open Sans" w:eastAsia="Times New Roman" w:hAnsi="Open Sans" w:cs="Open Sans"/>
          <w:color w:val="444444"/>
          <w:kern w:val="0"/>
          <w:sz w:val="21"/>
          <w:szCs w:val="21"/>
          <w:lang w:eastAsia="ru-RU"/>
          <w14:ligatures w14:val="none"/>
        </w:rPr>
        <w:br/>
        <w:t>метрологического обеспечения качества продукции</w:t>
      </w:r>
    </w:p>
    <w:p w14:paraId="1A53CB63" w14:textId="77777777" w:rsidR="009E40F4" w:rsidRPr="009E40F4" w:rsidRDefault="009E40F4" w:rsidP="009E40F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2" w:name="_Toc322119661"/>
      <w:bookmarkStart w:id="3" w:name="_Toc191278216"/>
      <w:bookmarkEnd w:id="2"/>
      <w:r w:rsidRPr="009E40F4">
        <w:rPr>
          <w:rFonts w:ascii="Open Sans" w:eastAsia="Times New Roman" w:hAnsi="Open Sans" w:cs="Open Sans"/>
          <w:color w:val="1FA2D6"/>
          <w:kern w:val="0"/>
          <w:sz w:val="21"/>
          <w:szCs w:val="21"/>
          <w:lang w:eastAsia="ru-RU"/>
          <w14:ligatures w14:val="none"/>
        </w:rPr>
        <w:t>§ 3.2 Нормативно-техническая документация на неразрушающий контроль</w:t>
      </w:r>
      <w:bookmarkEnd w:id="3"/>
      <w:r w:rsidRPr="009E40F4">
        <w:rPr>
          <w:rFonts w:ascii="Open Sans" w:eastAsia="Times New Roman" w:hAnsi="Open Sans" w:cs="Open Sans"/>
          <w:color w:val="444444"/>
          <w:kern w:val="0"/>
          <w:sz w:val="21"/>
          <w:szCs w:val="21"/>
          <w:lang w:eastAsia="ru-RU"/>
          <w14:ligatures w14:val="none"/>
        </w:rPr>
        <w:br/>
        <w:t>Нормативно-технический документ (НТД) — документ, устанавливающий требования к объектам стандартизации, обязательный для исполнения в определенных областях деятельности, разработанный в установленном порядке и утвержденный компетентным органом [23].</w:t>
      </w:r>
      <w:r w:rsidRPr="009E40F4">
        <w:rPr>
          <w:rFonts w:ascii="Open Sans" w:eastAsia="Times New Roman" w:hAnsi="Open Sans" w:cs="Open Sans"/>
          <w:color w:val="444444"/>
          <w:kern w:val="0"/>
          <w:sz w:val="21"/>
          <w:szCs w:val="21"/>
          <w:lang w:eastAsia="ru-RU"/>
          <w14:ligatures w14:val="none"/>
        </w:rPr>
        <w:br/>
        <w:t>К нормативно-техническим документам, используемым в НК, относятся:</w:t>
      </w:r>
      <w:r w:rsidRPr="009E40F4">
        <w:rPr>
          <w:rFonts w:ascii="Open Sans" w:eastAsia="Times New Roman" w:hAnsi="Open Sans" w:cs="Open Sans"/>
          <w:color w:val="444444"/>
          <w:kern w:val="0"/>
          <w:sz w:val="21"/>
          <w:szCs w:val="21"/>
          <w:lang w:eastAsia="ru-RU"/>
          <w14:ligatures w14:val="none"/>
        </w:rPr>
        <w:br/>
        <w:t>- правила контроля (ПК), в которых оговаривают требования к показателям качества, допуски на их отклонения от номинальных</w:t>
      </w:r>
      <w:r w:rsidRPr="009E40F4">
        <w:rPr>
          <w:rFonts w:ascii="Open Sans" w:eastAsia="Times New Roman" w:hAnsi="Open Sans" w:cs="Open Sans"/>
          <w:color w:val="444444"/>
          <w:kern w:val="0"/>
          <w:sz w:val="21"/>
          <w:szCs w:val="21"/>
          <w:lang w:eastAsia="ru-RU"/>
          <w14:ligatures w14:val="none"/>
        </w:rPr>
        <w:br/>
        <w:t>- значений, рекомендуемые виды (а иногда и методы) НК, объемы и характер (сплошной, выборочный) контроля;</w:t>
      </w:r>
      <w:r w:rsidRPr="009E40F4">
        <w:rPr>
          <w:rFonts w:ascii="Open Sans" w:eastAsia="Times New Roman" w:hAnsi="Open Sans" w:cs="Open Sans"/>
          <w:color w:val="444444"/>
          <w:kern w:val="0"/>
          <w:sz w:val="21"/>
          <w:szCs w:val="21"/>
          <w:lang w:eastAsia="ru-RU"/>
          <w14:ligatures w14:val="none"/>
        </w:rPr>
        <w:br/>
        <w:t>- технические условия (ТУ) на продукцию, в которых, как и в ПК, определены требования к показателям качества продукции, а также конкретные методы контроля (поверки) этих параметров; к этому виду НТД относятся и ТУ на средства НК (стандартные образцы, преобразователи, дефектоскопы). Технические условия разрабатывают в соответствии с ГОСТ 1.3 - 85 ГСС;</w:t>
      </w:r>
      <w:r w:rsidRPr="009E40F4">
        <w:rPr>
          <w:rFonts w:ascii="Open Sans" w:eastAsia="Times New Roman" w:hAnsi="Open Sans" w:cs="Open Sans"/>
          <w:color w:val="444444"/>
          <w:kern w:val="0"/>
          <w:sz w:val="21"/>
          <w:szCs w:val="21"/>
          <w:lang w:eastAsia="ru-RU"/>
          <w14:ligatures w14:val="none"/>
        </w:rPr>
        <w:br/>
        <w:t>- инструкции на методы НК. Как правило, такие инструкции охватывают контроль и оценку качества конкретных объектов конкретными методами или одним методом на предприятии или в ведомстве; например, «Инструкция по ультразвуковому контролю рельсов в пути дефектоскопом типа «Рельс-5» (МПС, 1980, 23 с);</w:t>
      </w:r>
      <w:r w:rsidRPr="009E40F4">
        <w:rPr>
          <w:rFonts w:ascii="Open Sans" w:eastAsia="Times New Roman" w:hAnsi="Open Sans" w:cs="Open Sans"/>
          <w:color w:val="444444"/>
          <w:kern w:val="0"/>
          <w:sz w:val="21"/>
          <w:szCs w:val="21"/>
          <w:lang w:eastAsia="ru-RU"/>
          <w14:ligatures w14:val="none"/>
        </w:rPr>
        <w:br/>
        <w:t>- методики (рекомендации) на НК, в отличие от инструкций, охватывают, как правило, основные положения НК объектов определенного вида, не оговаривая правила оценки их качества по результатам НК;</w:t>
      </w:r>
      <w:r w:rsidRPr="009E40F4">
        <w:rPr>
          <w:rFonts w:ascii="Open Sans" w:eastAsia="Times New Roman" w:hAnsi="Open Sans" w:cs="Open Sans"/>
          <w:color w:val="444444"/>
          <w:kern w:val="0"/>
          <w:sz w:val="21"/>
          <w:szCs w:val="21"/>
          <w:lang w:eastAsia="ru-RU"/>
          <w14:ligatures w14:val="none"/>
        </w:rPr>
        <w:br/>
        <w:t>- руководящие технические материалы (РТМ) на НК, в отличие от инструкций и методик, содержат не только указания по контролю и оценке качества продукции, но и оговаривают порядок организации службы НК в ведомстве или в отрасли.</w:t>
      </w:r>
      <w:r w:rsidRPr="009E40F4">
        <w:rPr>
          <w:rFonts w:ascii="Open Sans" w:eastAsia="Times New Roman" w:hAnsi="Open Sans" w:cs="Open Sans"/>
          <w:color w:val="444444"/>
          <w:kern w:val="0"/>
          <w:sz w:val="21"/>
          <w:szCs w:val="21"/>
          <w:lang w:eastAsia="ru-RU"/>
          <w14:ligatures w14:val="none"/>
        </w:rPr>
        <w:br/>
        <w:t>Правила контроля, технические условия и руководящие технические материалы утверждаются по отраслевому принципу соответствующими министерствами, ведомствами и при необходимости центральными органами общественных организаций. Инструкции и методики на НК согласовываются изготовителями продукции и утверждаются потребителем (заказчиком).</w:t>
      </w:r>
      <w:r w:rsidRPr="009E40F4">
        <w:rPr>
          <w:rFonts w:ascii="Open Sans" w:eastAsia="Times New Roman" w:hAnsi="Open Sans" w:cs="Open Sans"/>
          <w:color w:val="444444"/>
          <w:kern w:val="0"/>
          <w:sz w:val="21"/>
          <w:szCs w:val="21"/>
          <w:lang w:eastAsia="ru-RU"/>
          <w14:ligatures w14:val="none"/>
        </w:rPr>
        <w:br/>
        <w:t xml:space="preserve">Основополагающими из нормативно-технических документов являются стандарты, </w:t>
      </w:r>
      <w:r w:rsidRPr="009E40F4">
        <w:rPr>
          <w:rFonts w:ascii="Open Sans" w:eastAsia="Times New Roman" w:hAnsi="Open Sans" w:cs="Open Sans"/>
          <w:color w:val="444444"/>
          <w:kern w:val="0"/>
          <w:sz w:val="21"/>
          <w:szCs w:val="21"/>
          <w:lang w:eastAsia="ru-RU"/>
          <w14:ligatures w14:val="none"/>
        </w:rPr>
        <w:lastRenderedPageBreak/>
        <w:t>устанавливающие требования к группам однородной продукции (технологическим процессам), и правила, обеспечивающие ее разработку, производство и применение.</w:t>
      </w:r>
    </w:p>
    <w:p w14:paraId="1BAE5C86" w14:textId="77777777" w:rsidR="009E40F4" w:rsidRPr="009E40F4" w:rsidRDefault="009E40F4" w:rsidP="009E40F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4" w:name="_Toc322119662"/>
      <w:bookmarkStart w:id="5" w:name="_Toc191278217"/>
      <w:bookmarkEnd w:id="4"/>
      <w:r w:rsidRPr="009E40F4">
        <w:rPr>
          <w:rFonts w:ascii="Open Sans" w:eastAsia="Times New Roman" w:hAnsi="Open Sans" w:cs="Open Sans"/>
          <w:color w:val="1FA2D6"/>
          <w:kern w:val="0"/>
          <w:sz w:val="21"/>
          <w:szCs w:val="21"/>
          <w:lang w:eastAsia="ru-RU"/>
          <w14:ligatures w14:val="none"/>
        </w:rPr>
        <w:t>§ 3.3 Стандартизация неразрушающего контроля</w:t>
      </w:r>
      <w:bookmarkEnd w:id="5"/>
      <w:r w:rsidRPr="009E40F4">
        <w:rPr>
          <w:rFonts w:ascii="Open Sans" w:eastAsia="Times New Roman" w:hAnsi="Open Sans" w:cs="Open Sans"/>
          <w:color w:val="444444"/>
          <w:kern w:val="0"/>
          <w:sz w:val="21"/>
          <w:szCs w:val="21"/>
          <w:lang w:eastAsia="ru-RU"/>
          <w14:ligatures w14:val="none"/>
        </w:rPr>
        <w:br/>
        <w:t>В зависимости от требований к объектам стандартизации стандарты подразделяют на категории: государственные (ГОСТ); отраслевые (ОСТ); предприятий (СТП).</w:t>
      </w:r>
      <w:r w:rsidRPr="009E40F4">
        <w:rPr>
          <w:rFonts w:ascii="Open Sans" w:eastAsia="Times New Roman" w:hAnsi="Open Sans" w:cs="Open Sans"/>
          <w:color w:val="444444"/>
          <w:kern w:val="0"/>
          <w:sz w:val="21"/>
          <w:szCs w:val="21"/>
          <w:lang w:eastAsia="ru-RU"/>
          <w14:ligatures w14:val="none"/>
        </w:rPr>
        <w:br/>
        <w:t>Государственные стандарты утверждают Госстандарт и Госстрой (по закрепленной за последним номенклатуре). Эти стандарты обязательны для всех министерств и ведомств, предприятий, организаций и учреждений.</w:t>
      </w:r>
      <w:r w:rsidRPr="009E40F4">
        <w:rPr>
          <w:rFonts w:ascii="Open Sans" w:eastAsia="Times New Roman" w:hAnsi="Open Sans" w:cs="Open Sans"/>
          <w:color w:val="444444"/>
          <w:kern w:val="0"/>
          <w:sz w:val="21"/>
          <w:szCs w:val="21"/>
          <w:lang w:eastAsia="ru-RU"/>
          <w14:ligatures w14:val="none"/>
        </w:rPr>
        <w:br/>
        <w:t>Отраслевые стандарты утверждают министерства (ведомства) являющиеся головными (ведущими) по видам выпускаемой продукции. ОСТ может охватывать деятельность ряда министерств, предприятия которых заняты производством, эксплуатацией и ремонтом конкретной продукции. Так, действие OCTa «Ультразвуковой контроль сварных швов в мостах, вагонах, и локомотивах» распространяется не только на предприятия Министерства путей сообщения СССР но и на предприятия всех министерств, изготовляющих мостовые конструкции, вагоны, тепловозы и электровозы.</w:t>
      </w:r>
      <w:r w:rsidRPr="009E40F4">
        <w:rPr>
          <w:rFonts w:ascii="Open Sans" w:eastAsia="Times New Roman" w:hAnsi="Open Sans" w:cs="Open Sans"/>
          <w:color w:val="444444"/>
          <w:kern w:val="0"/>
          <w:sz w:val="21"/>
          <w:szCs w:val="21"/>
          <w:lang w:eastAsia="ru-RU"/>
          <w14:ligatures w14:val="none"/>
        </w:rPr>
        <w:br/>
        <w:t>Стандарты предприятий, разрабатываемые предприятиями (организациями), обязательны для подразделений и служб предприятия (организации), утвердившего стандарт. Порядок разработки и оформления СТП устанавливает ГОСТ 1.4 - 85.</w:t>
      </w:r>
      <w:r w:rsidRPr="009E40F4">
        <w:rPr>
          <w:rFonts w:ascii="Open Sans" w:eastAsia="Times New Roman" w:hAnsi="Open Sans" w:cs="Open Sans"/>
          <w:color w:val="444444"/>
          <w:kern w:val="0"/>
          <w:sz w:val="21"/>
          <w:szCs w:val="21"/>
          <w:lang w:eastAsia="ru-RU"/>
          <w14:ligatures w14:val="none"/>
        </w:rPr>
        <w:br/>
        <w:t>ОСТ и СТП разрабатывают, развивая соответствующие ГОСТы, если таковые имеются. При разработке, регистрации, внедрении и пересмотре ГОСТов, ОСТов и СТП руководствуются документами Государственной системы стандартизации (ГСС), включающей 13 стандартов. На стадии разработки стандарта выполняют его проверку на патентную чистоту.</w:t>
      </w:r>
      <w:r w:rsidRPr="009E40F4">
        <w:rPr>
          <w:rFonts w:ascii="Open Sans" w:eastAsia="Times New Roman" w:hAnsi="Open Sans" w:cs="Open Sans"/>
          <w:color w:val="444444"/>
          <w:kern w:val="0"/>
          <w:sz w:val="21"/>
          <w:szCs w:val="21"/>
          <w:lang w:eastAsia="ru-RU"/>
          <w14:ligatures w14:val="none"/>
        </w:rPr>
        <w:br/>
        <w:t>Кроме Государственной системы стандартизации в настоящее время действует еще ряд комплексных систем (номер системы обозначают цифрой после аббревиатуры ГОСТ), среди которых: ГОСТ 4 — Система показателей качества продукции (СПКП); ГОСТ 8 — Государственная система обеспечения единства измерений (ГСИ); ГОСТ 15 — разработка и постановка продукции на производство.</w:t>
      </w:r>
      <w:r w:rsidRPr="009E40F4">
        <w:rPr>
          <w:rFonts w:ascii="Open Sans" w:eastAsia="Times New Roman" w:hAnsi="Open Sans" w:cs="Open Sans"/>
          <w:color w:val="444444"/>
          <w:kern w:val="0"/>
          <w:sz w:val="21"/>
          <w:szCs w:val="21"/>
          <w:lang w:eastAsia="ru-RU"/>
          <w14:ligatures w14:val="none"/>
        </w:rPr>
        <w:br/>
        <w:t>Примером комплексной стандартизации служат комплексные системы управления качеством продукции (КС УКП), построенные по отраслевому принципу [23], а также комплексная целевая программа стандартизации НК. В соответствии с последней разработано значительное число ГОСТов и ОСТов в области НК, ряд из которых по техническому уровню превосходит соответствующие стандарты, действующие за рубежом.</w:t>
      </w:r>
      <w:r w:rsidRPr="009E40F4">
        <w:rPr>
          <w:rFonts w:ascii="Open Sans" w:eastAsia="Times New Roman" w:hAnsi="Open Sans" w:cs="Open Sans"/>
          <w:color w:val="444444"/>
          <w:kern w:val="0"/>
          <w:sz w:val="21"/>
          <w:szCs w:val="21"/>
          <w:lang w:eastAsia="ru-RU"/>
          <w14:ligatures w14:val="none"/>
        </w:rPr>
        <w:br/>
        <w:t>Необходимость международного сотрудничества в области стандартизации вызвала создание в 1946 г. Международной организации по стандартизации (ИСО). Высший руководящий орган ИСО — Генеральная ассамблея. Практическую работу по стандартизации ведут технические комитеты (ТК), сферы деятельности которых разграничены. Технический комитет ИСО/ТК 135 ведет работы по стандартизации в области неразрушающего контроля. В некоторых направлениях международная стандартизация развивается автономно. Примером могут служить Европейская организация по контролю качества (ЕОКК) и Международное агентство по атомной энергии (МАГАТЭ), уделяющие весьма серьезное внимание вопросам стандартизации и метрологического обеспечения НК.</w:t>
      </w:r>
      <w:r w:rsidRPr="009E40F4">
        <w:rPr>
          <w:rFonts w:ascii="Open Sans" w:eastAsia="Times New Roman" w:hAnsi="Open Sans" w:cs="Open Sans"/>
          <w:color w:val="444444"/>
          <w:kern w:val="0"/>
          <w:sz w:val="21"/>
          <w:szCs w:val="21"/>
          <w:lang w:eastAsia="ru-RU"/>
          <w14:ligatures w14:val="none"/>
        </w:rPr>
        <w:br/>
        <w:t>Стандарты на неразрушающие методы контроля относят к одной из трех групп.</w:t>
      </w:r>
      <w:r w:rsidRPr="009E40F4">
        <w:rPr>
          <w:rFonts w:ascii="Open Sans" w:eastAsia="Times New Roman" w:hAnsi="Open Sans" w:cs="Open Sans"/>
          <w:color w:val="444444"/>
          <w:kern w:val="0"/>
          <w:sz w:val="21"/>
          <w:szCs w:val="21"/>
          <w:lang w:eastAsia="ru-RU"/>
          <w14:ligatures w14:val="none"/>
        </w:rPr>
        <w:br/>
        <w:t>1 Стандарты общего назначения. Это стандарты на классификацию методов контроля, терминологию, единую систему обозначений, требования к содержанию стандартов других групп. Примером такого стандарта может служить ГОСТ 18353 - 79.</w:t>
      </w:r>
      <w:r w:rsidRPr="009E40F4">
        <w:rPr>
          <w:rFonts w:ascii="Open Sans" w:eastAsia="Times New Roman" w:hAnsi="Open Sans" w:cs="Open Sans"/>
          <w:color w:val="444444"/>
          <w:kern w:val="0"/>
          <w:sz w:val="21"/>
          <w:szCs w:val="21"/>
          <w:lang w:eastAsia="ru-RU"/>
          <w14:ligatures w14:val="none"/>
        </w:rPr>
        <w:br/>
        <w:t xml:space="preserve">2 Стандарты на средства контроля, разделяющие приборы данного типа на группы по определенным признакам, определяющие основные узлы и параметры этих приборов. В этих стандартах устанавливаются цифровые ряды или предельные значения параметров, </w:t>
      </w:r>
      <w:r w:rsidRPr="009E40F4">
        <w:rPr>
          <w:rFonts w:ascii="Open Sans" w:eastAsia="Times New Roman" w:hAnsi="Open Sans" w:cs="Open Sans"/>
          <w:color w:val="444444"/>
          <w:kern w:val="0"/>
          <w:sz w:val="21"/>
          <w:szCs w:val="21"/>
          <w:lang w:eastAsia="ru-RU"/>
          <w14:ligatures w14:val="none"/>
        </w:rPr>
        <w:lastRenderedPageBreak/>
        <w:t>рекомендованные к использованию.</w:t>
      </w:r>
      <w:r w:rsidRPr="009E40F4">
        <w:rPr>
          <w:rFonts w:ascii="Open Sans" w:eastAsia="Times New Roman" w:hAnsi="Open Sans" w:cs="Open Sans"/>
          <w:color w:val="444444"/>
          <w:kern w:val="0"/>
          <w:sz w:val="21"/>
          <w:szCs w:val="21"/>
          <w:lang w:eastAsia="ru-RU"/>
          <w14:ligatures w14:val="none"/>
        </w:rPr>
        <w:br/>
        <w:t>Важную роль в повышении технического уровня приборов неразрушающего контроля играют стандарты на основные технические требования (ГОСТ ОТТ), система которых разработана и введена Госстандартом в 1985 - 1987 гг. ГОСТ ОТТ разработаны на ультразвуковые, вихретоковые, магнитные, радиационные и т.п. дефектоскопы, толщиномеры и другие типы приборов, являющиеся основными средствами неразрушающего контроля. В этих стандартах предусмотрено планомерное улучшение основных технических параметров, чтобы сначала достичь передового международного уровня, а затем превзойти его. Несоответствие прибора ГОСТу ОТТ автоматически лишает его возможности претендовать на высокую категорию качества, а следовательно, влияет на прибыль и фонд экономического стимулирования предприятия — изготовителя прибора,</w:t>
      </w:r>
      <w:r w:rsidRPr="009E40F4">
        <w:rPr>
          <w:rFonts w:ascii="Open Sans" w:eastAsia="Times New Roman" w:hAnsi="Open Sans" w:cs="Open Sans"/>
          <w:color w:val="444444"/>
          <w:kern w:val="0"/>
          <w:sz w:val="21"/>
          <w:szCs w:val="21"/>
          <w:lang w:eastAsia="ru-RU"/>
          <w14:ligatures w14:val="none"/>
        </w:rPr>
        <w:br/>
        <w:t>3 Стандарты на методики контроля различных видов продукции определенными методами, например: на радиационный контроль сварных соединений, ультразвуковой контроль труб, капиллярный контроль изделий разнообразного типа. В таких стандартах указывают ограничения на виды контролируемой продукции, типы выявляемых дефектов, основные требования к применяемой аппаратуре (в некоторых случаях рекомендуют простые средства проверки ее параметров), способы ее настройки, требования по подготовке изделий к контролю, порядок его проведения и оформления результатов.</w:t>
      </w:r>
      <w:r w:rsidRPr="009E40F4">
        <w:rPr>
          <w:rFonts w:ascii="Open Sans" w:eastAsia="Times New Roman" w:hAnsi="Open Sans" w:cs="Open Sans"/>
          <w:color w:val="444444"/>
          <w:kern w:val="0"/>
          <w:sz w:val="21"/>
          <w:szCs w:val="21"/>
          <w:lang w:eastAsia="ru-RU"/>
          <w14:ligatures w14:val="none"/>
        </w:rPr>
        <w:br/>
        <w:t>Рассмотренная система стандартов на средства и методы контроля разрабатывается в нашей стране в плановом порядке. Уже создано большинство необходимых стандартов. Они периодически пересматриваются и совершенствуются.</w:t>
      </w:r>
    </w:p>
    <w:p w14:paraId="0B204611" w14:textId="77777777" w:rsidR="009E40F4" w:rsidRPr="009E40F4" w:rsidRDefault="009E40F4" w:rsidP="009E40F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6" w:name="_Toc322119663"/>
      <w:bookmarkStart w:id="7" w:name="_Toc191278218"/>
      <w:bookmarkEnd w:id="6"/>
      <w:r w:rsidRPr="009E40F4">
        <w:rPr>
          <w:rFonts w:ascii="Open Sans" w:eastAsia="Times New Roman" w:hAnsi="Open Sans" w:cs="Open Sans"/>
          <w:color w:val="1FA2D6"/>
          <w:kern w:val="0"/>
          <w:sz w:val="21"/>
          <w:szCs w:val="21"/>
          <w:lang w:eastAsia="ru-RU"/>
          <w14:ligatures w14:val="none"/>
        </w:rPr>
        <w:t>§ 3.4 Метрологическое обеспечение средств неразрушающего контроля</w:t>
      </w:r>
      <w:bookmarkEnd w:id="7"/>
      <w:r w:rsidRPr="009E40F4">
        <w:rPr>
          <w:rFonts w:ascii="Open Sans" w:eastAsia="Times New Roman" w:hAnsi="Open Sans" w:cs="Open Sans"/>
          <w:color w:val="444444"/>
          <w:kern w:val="0"/>
          <w:sz w:val="21"/>
          <w:szCs w:val="21"/>
          <w:lang w:eastAsia="ru-RU"/>
          <w14:ligatures w14:val="none"/>
        </w:rPr>
        <w:br/>
        <w:t>Средства неразрушающего контроля в большинстве случаев следует рассматривать как средства измерения. Метрологическое обеспечение средств НК, т.е. установление и применение научных и организационных основ, приборов и устройств, правил и норм, необходимых для достижения единства и требуемой точности измерений, — обязательная составная часть неразрушающего контроля.</w:t>
      </w:r>
      <w:r w:rsidRPr="009E40F4">
        <w:rPr>
          <w:rFonts w:ascii="Open Sans" w:eastAsia="Times New Roman" w:hAnsi="Open Sans" w:cs="Open Sans"/>
          <w:color w:val="444444"/>
          <w:kern w:val="0"/>
          <w:sz w:val="21"/>
          <w:szCs w:val="21"/>
          <w:lang w:eastAsia="ru-RU"/>
          <w14:ligatures w14:val="none"/>
        </w:rPr>
        <w:br/>
        <w:t>Нормативной базой метрологического обеспечения являются стандарты Государственной системы обеспечения единства измерений (ГСИ). В состав ГСИ наряду с государственными входят Отраслевые стандарты, технические условия и другие нормативно-технические документы.</w:t>
      </w:r>
      <w:r w:rsidRPr="009E40F4">
        <w:rPr>
          <w:rFonts w:ascii="Open Sans" w:eastAsia="Times New Roman" w:hAnsi="Open Sans" w:cs="Open Sans"/>
          <w:color w:val="444444"/>
          <w:kern w:val="0"/>
          <w:sz w:val="21"/>
          <w:szCs w:val="21"/>
          <w:lang w:eastAsia="ru-RU"/>
          <w14:ligatures w14:val="none"/>
        </w:rPr>
        <w:br/>
        <w:t>Метрологическое обеспечение средств НК охватывает стадии: обоснования предложений на разработку новых средств; опытно-конструкторской разработки (ОКР) средств; постановки на производство; производства средств; эксплуатации и ремонта.</w:t>
      </w:r>
      <w:r w:rsidRPr="009E40F4">
        <w:rPr>
          <w:rFonts w:ascii="Open Sans" w:eastAsia="Times New Roman" w:hAnsi="Open Sans" w:cs="Open Sans"/>
          <w:color w:val="444444"/>
          <w:kern w:val="0"/>
          <w:sz w:val="21"/>
          <w:szCs w:val="21"/>
          <w:lang w:eastAsia="ru-RU"/>
          <w14:ligatures w14:val="none"/>
        </w:rPr>
        <w:br/>
        <w:t>На первой стадии проводят метрологическую экспертизу заявки на разработку новой техники. В ходе ее устанавливают обоснованность и достаточность норм точности, изложенных в заявке, соответствие этих норм действующим стандартам, контролепригодность норм точности, а также объем требований к метрологическому обеспечению предстоящего производства изделий. Результаты экспертизы оформляют в виде экспертного заключения. Эти данные учитывают при составлении карт технического уровня.</w:t>
      </w:r>
      <w:r w:rsidRPr="009E40F4">
        <w:rPr>
          <w:rFonts w:ascii="Open Sans" w:eastAsia="Times New Roman" w:hAnsi="Open Sans" w:cs="Open Sans"/>
          <w:color w:val="444444"/>
          <w:kern w:val="0"/>
          <w:sz w:val="21"/>
          <w:szCs w:val="21"/>
          <w:lang w:eastAsia="ru-RU"/>
          <w14:ligatures w14:val="none"/>
        </w:rPr>
        <w:br/>
        <w:t>На стадии ОКР средств НК метрологической экспертизе подвергают техническое задание, технические предложения и конструкторско-технологическую документацию.</w:t>
      </w:r>
      <w:r w:rsidRPr="009E40F4">
        <w:rPr>
          <w:rFonts w:ascii="Open Sans" w:eastAsia="Times New Roman" w:hAnsi="Open Sans" w:cs="Open Sans"/>
          <w:color w:val="444444"/>
          <w:kern w:val="0"/>
          <w:sz w:val="21"/>
          <w:szCs w:val="21"/>
          <w:lang w:eastAsia="ru-RU"/>
          <w14:ligatures w14:val="none"/>
        </w:rPr>
        <w:br/>
        <w:t xml:space="preserve">При проведении метрологической экспертизы технического задания определяют соответствие построения, изложения и оформления ГОСТ 15.001 - 73, возможность измерения тех параметров предполагаемого к разработке средства, к которым предъявляются точностные требования; особое внимание при этом следует уделять точностным требованиям основных параметров аппаратуры, обусловливающих достоверность результатов контроля. Метрологическую экспертизу технических заданий </w:t>
      </w:r>
      <w:r w:rsidRPr="009E40F4">
        <w:rPr>
          <w:rFonts w:ascii="Open Sans" w:eastAsia="Times New Roman" w:hAnsi="Open Sans" w:cs="Open Sans"/>
          <w:color w:val="444444"/>
          <w:kern w:val="0"/>
          <w:sz w:val="21"/>
          <w:szCs w:val="21"/>
          <w:lang w:eastAsia="ru-RU"/>
          <w14:ligatures w14:val="none"/>
        </w:rPr>
        <w:lastRenderedPageBreak/>
        <w:t>на ОКР средств НК проводит головная организация по государственным испытаниям средств НК, утвержденная Госстандартом. Результаты экспертизы отражают в экспертном заключении, рекомендуемая форма которого приведена в одном из документов ГСИ. Положительное заключение метрологической экспертизы является необходимым условием утверждения технических заданий на разработку всех без исключения средств измерений, предназначенных для производства, выпуска в обращение и применения в стране.</w:t>
      </w:r>
      <w:r w:rsidRPr="009E40F4">
        <w:rPr>
          <w:rFonts w:ascii="Open Sans" w:eastAsia="Times New Roman" w:hAnsi="Open Sans" w:cs="Open Sans"/>
          <w:color w:val="444444"/>
          <w:kern w:val="0"/>
          <w:sz w:val="21"/>
          <w:szCs w:val="21"/>
          <w:lang w:eastAsia="ru-RU"/>
          <w14:ligatures w14:val="none"/>
        </w:rPr>
        <w:br/>
        <w:t>В процессе метрологической экспертизы технических предложений определяют соответствие их техническому заданию и действующим стандартам. На основании сведений о предполагаемом изготовителе средств НК выявляют контролепригодность установленных норм точности и возможность их контроля в реальных условиях изготовителя средств НК.</w:t>
      </w:r>
      <w:r w:rsidRPr="009E40F4">
        <w:rPr>
          <w:rFonts w:ascii="Open Sans" w:eastAsia="Times New Roman" w:hAnsi="Open Sans" w:cs="Open Sans"/>
          <w:color w:val="444444"/>
          <w:kern w:val="0"/>
          <w:sz w:val="21"/>
          <w:szCs w:val="21"/>
          <w:lang w:eastAsia="ru-RU"/>
          <w14:ligatures w14:val="none"/>
        </w:rPr>
        <w:br/>
        <w:t>Метрологическая экспертиза конструкторской и технологической документации предусматривает анализ и оценку технических решений по выбору параметров, подлежащих измерению, устанавливает нормы точности, методы и приборы измерений. Она осуществляется и результаты ее оформляются в соответствии со стандартами, входящими в ГСИ. Технические условия (ТУ) на средства НК и методика поверки (ПМ) этих средств, составленные; в процессе ОКР, согласовываются, как правило, головной организацией по метрологическому обеспечению средств НК Госстандарта или ведомства (министерства), если область применения разрабатываемых средств ограничивается контролем объектов данного ведомства.</w:t>
      </w:r>
      <w:r w:rsidRPr="009E40F4">
        <w:rPr>
          <w:rFonts w:ascii="Open Sans" w:eastAsia="Times New Roman" w:hAnsi="Open Sans" w:cs="Open Sans"/>
          <w:color w:val="444444"/>
          <w:kern w:val="0"/>
          <w:sz w:val="21"/>
          <w:szCs w:val="21"/>
          <w:lang w:eastAsia="ru-RU"/>
          <w14:ligatures w14:val="none"/>
        </w:rPr>
        <w:br/>
        <w:t>При постановке средств НК на производство работы по метрологическому обеспечению сводятся к обеспечению технологических процессов наиболее совершенными методиками выполнения измерений и средствами измерений, гарантирующими необходимую точность аттестации и стандартизации этих методик, а также к подготовке производственного персонала и рабочих мест к выполнению контрольно-измерительных операций. Нормативная база метрологического обеспечения подготовки производства средств НК — стандарты ГСИ и ЕСТПП, а также НТД отраслевого значения.</w:t>
      </w:r>
      <w:r w:rsidRPr="009E40F4">
        <w:rPr>
          <w:rFonts w:ascii="Open Sans" w:eastAsia="Times New Roman" w:hAnsi="Open Sans" w:cs="Open Sans"/>
          <w:color w:val="444444"/>
          <w:kern w:val="0"/>
          <w:sz w:val="21"/>
          <w:szCs w:val="21"/>
          <w:lang w:eastAsia="ru-RU"/>
          <w14:ligatures w14:val="none"/>
        </w:rPr>
        <w:br/>
        <w:t>В процессе производства средств НК каждое средство подлежит поверке (первичной) работниками ОТК, а также работниками приемки, если таковая введена на предприятии. Методика первичной поверки изложена в ТУ на средства НК.</w:t>
      </w:r>
      <w:r w:rsidRPr="009E40F4">
        <w:rPr>
          <w:rFonts w:ascii="Open Sans" w:eastAsia="Times New Roman" w:hAnsi="Open Sans" w:cs="Open Sans"/>
          <w:color w:val="444444"/>
          <w:kern w:val="0"/>
          <w:sz w:val="21"/>
          <w:szCs w:val="21"/>
          <w:lang w:eastAsia="ru-RU"/>
          <w14:ligatures w14:val="none"/>
        </w:rPr>
        <w:br/>
        <w:t>Первичная поверка сводится к проверке (измерению, контролю) соответствия параметров выпускаемого средства НК параметрам, заданным в ТУ. При этом проверяют не только основные параметры аппаратуры, но и параметры (характеристики) отдельных функциональных узлов средств НК, что в ряде случаев требует применения весьма сложной нестандартизованной радиоизмерительной аппаратуры.</w:t>
      </w:r>
      <w:r w:rsidRPr="009E40F4">
        <w:rPr>
          <w:rFonts w:ascii="Open Sans" w:eastAsia="Times New Roman" w:hAnsi="Open Sans" w:cs="Open Sans"/>
          <w:color w:val="444444"/>
          <w:kern w:val="0"/>
          <w:sz w:val="21"/>
          <w:szCs w:val="21"/>
          <w:lang w:eastAsia="ru-RU"/>
          <w14:ligatures w14:val="none"/>
        </w:rPr>
        <w:br/>
        <w:t>В процессе эксплуатации средств НК достаточно их поверять (периодическая поверка) на соответствие значений основных параметров аппаратуры или метода значениям, предусмотренным в НТД. При этом средство НК, не соответствующее ТУ по каким-то характеристикам, может оказаться удовлетворяющим по основным параметрам требованиям НТД на контроль и поэтому эффективным средством контроля конкретных объектов. Так, например, ультразвуковой дефектоскоп общего назначения, не удовлетворяющий требованиям ТУ по чувствительности на частотах 1,5 и 5 МГц, может оказаться пригодным для проверки сварных соединений в конкретных объектах, так как контроль этих соединений должен вестись на частоте 2,5 МГц±10%, а дефектоскоп при работе на частоте 2,5 МГц по основным параметрам аппаратуры соответствует требованиям НТД на контроль данных соединений. Такой подход по поверке средств НК в процессе их эксплуатации позволяет в большинстве случаев ограничиться использованием стандартных образцов, что существенно упрощает процедуру поверки.</w:t>
      </w:r>
      <w:r w:rsidRPr="009E40F4">
        <w:rPr>
          <w:rFonts w:ascii="Open Sans" w:eastAsia="Times New Roman" w:hAnsi="Open Sans" w:cs="Open Sans"/>
          <w:color w:val="444444"/>
          <w:kern w:val="0"/>
          <w:sz w:val="21"/>
          <w:szCs w:val="21"/>
          <w:lang w:eastAsia="ru-RU"/>
          <w14:ligatures w14:val="none"/>
        </w:rPr>
        <w:br/>
        <w:t xml:space="preserve">Средства НК после ремонта должны, как правило, подвергаться первичной поверке. </w:t>
      </w:r>
      <w:r w:rsidRPr="009E40F4">
        <w:rPr>
          <w:rFonts w:ascii="Open Sans" w:eastAsia="Times New Roman" w:hAnsi="Open Sans" w:cs="Open Sans"/>
          <w:color w:val="444444"/>
          <w:kern w:val="0"/>
          <w:sz w:val="21"/>
          <w:szCs w:val="21"/>
          <w:lang w:eastAsia="ru-RU"/>
          <w14:ligatures w14:val="none"/>
        </w:rPr>
        <w:lastRenderedPageBreak/>
        <w:t>Однако допускается при этом ограничиваться поверкой по изложенной программе периодической поверки.</w:t>
      </w:r>
      <w:r w:rsidRPr="009E40F4">
        <w:rPr>
          <w:rFonts w:ascii="Open Sans" w:eastAsia="Times New Roman" w:hAnsi="Open Sans" w:cs="Open Sans"/>
          <w:color w:val="444444"/>
          <w:kern w:val="0"/>
          <w:sz w:val="21"/>
          <w:szCs w:val="21"/>
          <w:lang w:eastAsia="ru-RU"/>
          <w14:ligatures w14:val="none"/>
        </w:rPr>
        <w:br/>
        <w:t>При поверке, а также при настройке средств НК широко применяют стандартные образцы (СО). Различают государственные (ГСО), отраслевые (ОСО) стандартные образцы и стандартные образцы предприятий (СОП). Основное назначение любых стандартных образцов — обеспечение единства и воспроизводимости с заданной точностью основных параметров средств НК, обусловливающих достоверность результатов контроля.</w:t>
      </w:r>
    </w:p>
    <w:p w14:paraId="702CB54B" w14:textId="140B0056" w:rsidR="009E40F4" w:rsidRPr="009E40F4" w:rsidRDefault="009E40F4" w:rsidP="009E40F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noProof/>
          <w:color w:val="444444"/>
          <w:kern w:val="0"/>
          <w:sz w:val="21"/>
          <w:szCs w:val="21"/>
          <w:lang w:eastAsia="ru-RU"/>
          <w14:ligatures w14:val="none"/>
        </w:rPr>
        <w:drawing>
          <wp:inline distT="0" distB="0" distL="0" distR="0" wp14:anchorId="2DC64997" wp14:editId="126050DE">
            <wp:extent cx="3528060" cy="1447800"/>
            <wp:effectExtent l="0" t="0" r="0" b="0"/>
            <wp:docPr id="13443309" name="Рисунок 4" descr="Изображение выглядит как зарисовка, рисунок, Штриховая графика, искусство&#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3309" name="Рисунок 4" descr="Изображение выглядит как зарисовка, рисунок, Штриховая графика, искусство&#10;&#10;Автоматически созданное описание"/>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28060" cy="1447800"/>
                    </a:xfrm>
                    <a:prstGeom prst="rect">
                      <a:avLst/>
                    </a:prstGeom>
                    <a:noFill/>
                    <a:ln>
                      <a:noFill/>
                    </a:ln>
                  </pic:spPr>
                </pic:pic>
              </a:graphicData>
            </a:graphic>
          </wp:inline>
        </w:drawing>
      </w:r>
      <w:r w:rsidRPr="009E40F4">
        <w:rPr>
          <w:rFonts w:ascii="Open Sans" w:eastAsia="Times New Roman" w:hAnsi="Open Sans" w:cs="Open Sans"/>
          <w:color w:val="444444"/>
          <w:kern w:val="0"/>
          <w:sz w:val="21"/>
          <w:szCs w:val="21"/>
          <w:lang w:eastAsia="ru-RU"/>
          <w14:ligatures w14:val="none"/>
        </w:rPr>
        <w:br/>
        <w:t>Рис. 3.2. Комплект стандартных образцов по ГОСТ 14782 – 86</w:t>
      </w:r>
      <w:r w:rsidRPr="009E40F4">
        <w:rPr>
          <w:rFonts w:ascii="Open Sans" w:eastAsia="Times New Roman" w:hAnsi="Open Sans" w:cs="Open Sans"/>
          <w:color w:val="444444"/>
          <w:kern w:val="0"/>
          <w:sz w:val="21"/>
          <w:szCs w:val="21"/>
          <w:lang w:eastAsia="ru-RU"/>
          <w14:ligatures w14:val="none"/>
        </w:rPr>
        <w:br/>
        <w:t>для ультразвукового контроля сварных соединений</w:t>
      </w:r>
    </w:p>
    <w:p w14:paraId="7E33E425" w14:textId="77777777" w:rsidR="009E40F4" w:rsidRPr="009E40F4" w:rsidRDefault="009E40F4" w:rsidP="009E40F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color w:val="444444"/>
          <w:kern w:val="0"/>
          <w:sz w:val="21"/>
          <w:szCs w:val="21"/>
          <w:lang w:eastAsia="ru-RU"/>
          <w14:ligatures w14:val="none"/>
        </w:rPr>
        <w:t>Так, комплект стандартных образцов ГСО-1, ГСО-2 и ГСО-3 по ГОСТ 14782 - 86 (рис. 3.2) предназначен для настройки, измерения и проверки условной и предельной чувствительности, погрешности глубиномера, угла ввода луча, мертвой зоны и разрешающей способности при ультразвуковом контроле сварных соединений. Естественно, стандартные образцы, в свою очередь являясь средствами измерений, изготовляют из материала со строго регламентированными свойствами, по единым чертежам и технологии. Испытания и аттестацию СО проводят по ТУ и методикам, утвержденным в установленном порядке (см. ГОСТ 8.315 - 78, 8.316 - 78, ГОСТ 8.532 - 85). При выпуске СО полученные значения метрологических характеристик каждого конкретного экземпляра приводят в свидетельстве или в обязательном приложении к нему.</w:t>
      </w:r>
      <w:r w:rsidRPr="009E40F4">
        <w:rPr>
          <w:rFonts w:ascii="Open Sans" w:eastAsia="Times New Roman" w:hAnsi="Open Sans" w:cs="Open Sans"/>
          <w:color w:val="444444"/>
          <w:kern w:val="0"/>
          <w:sz w:val="21"/>
          <w:szCs w:val="21"/>
          <w:lang w:eastAsia="ru-RU"/>
          <w14:ligatures w14:val="none"/>
        </w:rPr>
        <w:br/>
        <w:t>Стандартные образцы, применяемые в практике контроля, отличаются от СО, используемых при испытаниях средств НК в процессе их производства, технологичностью в изготовлении и эргономичностью в эксплуатации при несколько меньшей точности измерения стандартизируемых параметров. При любом виде поверки устанавливают пригодность средств НК к применению; результаты поверки фиксируют в формулярах или заключениях (протоколах).</w:t>
      </w:r>
      <w:r w:rsidRPr="009E40F4">
        <w:rPr>
          <w:rFonts w:ascii="Open Sans" w:eastAsia="Times New Roman" w:hAnsi="Open Sans" w:cs="Open Sans"/>
          <w:color w:val="444444"/>
          <w:kern w:val="0"/>
          <w:sz w:val="21"/>
          <w:szCs w:val="21"/>
          <w:lang w:eastAsia="ru-RU"/>
          <w14:ligatures w14:val="none"/>
        </w:rPr>
        <w:br/>
        <w:t>Применение неповеренных средств НК запрещено.</w:t>
      </w:r>
      <w:r w:rsidRPr="009E40F4">
        <w:rPr>
          <w:rFonts w:ascii="Open Sans" w:eastAsia="Times New Roman" w:hAnsi="Open Sans" w:cs="Open Sans"/>
          <w:color w:val="444444"/>
          <w:kern w:val="0"/>
          <w:sz w:val="21"/>
          <w:szCs w:val="21"/>
          <w:lang w:eastAsia="ru-RU"/>
          <w14:ligatures w14:val="none"/>
        </w:rPr>
        <w:br/>
        <w:t>Метрологическая служба состоит из государственной и ведомственной. Государственную службу возглавляет Госстандарт. Главным центром государственной метрологической службы является Всесоюзный научно-исследовательский институт метрологической службы (ВНИИМС). Органами государственной метрологической службы на местах, являются центры стандартизации государственного надзора за стандартами и измерительной техникой (ЛГН), На Белорусский центр (БелЦСМ) Госстандартом возложены функции головной организации по испытанию средств НК.</w:t>
      </w:r>
      <w:r w:rsidRPr="009E40F4">
        <w:rPr>
          <w:rFonts w:ascii="Open Sans" w:eastAsia="Times New Roman" w:hAnsi="Open Sans" w:cs="Open Sans"/>
          <w:color w:val="444444"/>
          <w:kern w:val="0"/>
          <w:sz w:val="21"/>
          <w:szCs w:val="21"/>
          <w:lang w:eastAsia="ru-RU"/>
          <w14:ligatures w14:val="none"/>
        </w:rPr>
        <w:br/>
        <w:t xml:space="preserve">Сеть метрологических органов министерства (ведомства) и их деятельность, направленная на обеспечение единства измерений и единообразия средств измерений, образует ведомственную метрологическую службу. В каждом министерстве (ведомстве) ее возглавляют главный метролог. Для научно-методического руководства и координации работ по метрологическому обеспечению в министерстве (ведомстве) определяются, по согласованию с Госстандартом, головная организация и в ее подчинении базовые организации. Основные звенья ведомственной метрологической службы — </w:t>
      </w:r>
      <w:r w:rsidRPr="009E40F4">
        <w:rPr>
          <w:rFonts w:ascii="Open Sans" w:eastAsia="Times New Roman" w:hAnsi="Open Sans" w:cs="Open Sans"/>
          <w:color w:val="444444"/>
          <w:kern w:val="0"/>
          <w:sz w:val="21"/>
          <w:szCs w:val="21"/>
          <w:lang w:eastAsia="ru-RU"/>
          <w14:ligatures w14:val="none"/>
        </w:rPr>
        <w:lastRenderedPageBreak/>
        <w:t>метрологические службы предприятий, на ряд из которых могут быть возложены функции метрологического обеспечения средств НК. На рис. 3.3 отображена в качестве примера структурная схема ведомственной метрологической службы средств НК на железнодорожном транспорте, функционирующая в соответствии с действующими в МПС положениями.</w:t>
      </w:r>
      <w:r w:rsidRPr="009E40F4">
        <w:rPr>
          <w:rFonts w:ascii="Open Sans" w:eastAsia="Times New Roman" w:hAnsi="Open Sans" w:cs="Open Sans"/>
          <w:color w:val="444444"/>
          <w:kern w:val="0"/>
          <w:sz w:val="21"/>
          <w:szCs w:val="21"/>
          <w:lang w:eastAsia="ru-RU"/>
          <w14:ligatures w14:val="none"/>
        </w:rPr>
        <w:br/>
        <w:t>На государственную и ведомственную метрологическую службы возлагается также проведение испытаний средств измерений в процессе их разработки и производства.</w:t>
      </w:r>
    </w:p>
    <w:p w14:paraId="27C460D8" w14:textId="0DBF2CED" w:rsidR="009E40F4" w:rsidRPr="009E40F4" w:rsidRDefault="009E40F4" w:rsidP="009E40F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noProof/>
          <w:color w:val="444444"/>
          <w:kern w:val="0"/>
          <w:sz w:val="21"/>
          <w:szCs w:val="21"/>
          <w:lang w:eastAsia="ru-RU"/>
          <w14:ligatures w14:val="none"/>
        </w:rPr>
        <w:drawing>
          <wp:inline distT="0" distB="0" distL="0" distR="0" wp14:anchorId="2B01EAA4" wp14:editId="24272B91">
            <wp:extent cx="3063240" cy="1958340"/>
            <wp:effectExtent l="0" t="0" r="3810" b="3810"/>
            <wp:docPr id="482667108" name="Рисунок 3" descr="Изображение выглядит как текст, зарисовка, диаграмма, рисунок&#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667108" name="Рисунок 3" descr="Изображение выглядит как текст, зарисовка, диаграмма, рисунок&#10;&#10;Автоматически созданное описание"/>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63240" cy="1958340"/>
                    </a:xfrm>
                    <a:prstGeom prst="rect">
                      <a:avLst/>
                    </a:prstGeom>
                    <a:noFill/>
                    <a:ln>
                      <a:noFill/>
                    </a:ln>
                  </pic:spPr>
                </pic:pic>
              </a:graphicData>
            </a:graphic>
          </wp:inline>
        </w:drawing>
      </w:r>
      <w:r w:rsidRPr="009E40F4">
        <w:rPr>
          <w:rFonts w:ascii="Open Sans" w:eastAsia="Times New Roman" w:hAnsi="Open Sans" w:cs="Open Sans"/>
          <w:color w:val="444444"/>
          <w:kern w:val="0"/>
          <w:sz w:val="21"/>
          <w:szCs w:val="21"/>
          <w:lang w:eastAsia="ru-RU"/>
          <w14:ligatures w14:val="none"/>
        </w:rPr>
        <w:br/>
        <w:t>Рис. 3.3. Структура ведомственной метрологической службы средств НК</w:t>
      </w:r>
      <w:r w:rsidRPr="009E40F4">
        <w:rPr>
          <w:rFonts w:ascii="Open Sans" w:eastAsia="Times New Roman" w:hAnsi="Open Sans" w:cs="Open Sans"/>
          <w:color w:val="444444"/>
          <w:kern w:val="0"/>
          <w:sz w:val="21"/>
          <w:szCs w:val="21"/>
          <w:lang w:eastAsia="ru-RU"/>
          <w14:ligatures w14:val="none"/>
        </w:rPr>
        <w:br/>
        <w:t>на железнодорожном транспорте</w:t>
      </w:r>
    </w:p>
    <w:p w14:paraId="33C40C9F" w14:textId="77777777" w:rsidR="009E40F4" w:rsidRPr="009E40F4" w:rsidRDefault="009E40F4" w:rsidP="009E40F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8" w:name="_Toc322119664"/>
      <w:bookmarkStart w:id="9" w:name="_Toc191278219"/>
      <w:bookmarkEnd w:id="8"/>
      <w:r w:rsidRPr="009E40F4">
        <w:rPr>
          <w:rFonts w:ascii="Open Sans" w:eastAsia="Times New Roman" w:hAnsi="Open Sans" w:cs="Open Sans"/>
          <w:color w:val="1FA2D6"/>
          <w:kern w:val="0"/>
          <w:sz w:val="21"/>
          <w:szCs w:val="21"/>
          <w:lang w:eastAsia="ru-RU"/>
          <w14:ligatures w14:val="none"/>
        </w:rPr>
        <w:t>§ 3.5. Испытания средств неразрушающего контроля</w:t>
      </w:r>
      <w:bookmarkEnd w:id="9"/>
      <w:r w:rsidRPr="009E40F4">
        <w:rPr>
          <w:rFonts w:ascii="Open Sans" w:eastAsia="Times New Roman" w:hAnsi="Open Sans" w:cs="Open Sans"/>
          <w:color w:val="444444"/>
          <w:kern w:val="0"/>
          <w:sz w:val="21"/>
          <w:szCs w:val="21"/>
          <w:lang w:eastAsia="ru-RU"/>
          <w14:ligatures w14:val="none"/>
        </w:rPr>
        <w:br/>
        <w:t>С целью обеспечения единства результатов НК, постановки на производство и выпуска средств, по своему техническому уровню соответствующих лучшим отечественным и зарубежным образцам или превышающих их, ГСИ предусмотрено проведение государственных испытаний средств НК, как средств измерений. Установлено два вида государственных испытаний: приемочные и контрольные (ГОСТ 8.383 - 80).</w:t>
      </w:r>
      <w:r w:rsidRPr="009E40F4">
        <w:rPr>
          <w:rFonts w:ascii="Open Sans" w:eastAsia="Times New Roman" w:hAnsi="Open Sans" w:cs="Open Sans"/>
          <w:color w:val="444444"/>
          <w:kern w:val="0"/>
          <w:sz w:val="21"/>
          <w:szCs w:val="21"/>
          <w:lang w:eastAsia="ru-RU"/>
          <w14:ligatures w14:val="none"/>
        </w:rPr>
        <w:br/>
        <w:t>Государственным приемочным испытаниям подлежат опытные образцы средств НК, предназначенные для серийного производства, а также образцы средств НК, подлежащие ввозу из-за границы партиями. Положительные результаты государственных приемочных испытаний являются основанием для утверждения типа средств НК и выдачи разрешения на производство установочной партии. Если эти испытания проводились на образцах из установочной партии, то при положительных результатах выдается разрешение и на серийное производство и выпуск средств НК в обращение. Типы средств НК, прошедших государственные испытания, заносятся в Государственный реестр средств измерений</w:t>
      </w:r>
      <w:r w:rsidRPr="009E40F4">
        <w:rPr>
          <w:rFonts w:ascii="Open Sans" w:eastAsia="Times New Roman" w:hAnsi="Open Sans" w:cs="Open Sans"/>
          <w:color w:val="444444"/>
          <w:kern w:val="0"/>
          <w:sz w:val="21"/>
          <w:szCs w:val="21"/>
          <w:lang w:eastAsia="ru-RU"/>
          <w14:ligatures w14:val="none"/>
        </w:rPr>
        <w:br/>
        <w:t>Государственным контрольным испытаниям подвергают образцы выпускаемых и периодически ввозимых из-за границы партиями средств НК из установочной партии; по истечении срока действия разрешения, выданного ранее на серийное производство; при внесении в конструкцию средства НК или технологию его изготовления изменений.</w:t>
      </w:r>
      <w:r w:rsidRPr="009E40F4">
        <w:rPr>
          <w:rFonts w:ascii="Open Sans" w:eastAsia="Times New Roman" w:hAnsi="Open Sans" w:cs="Open Sans"/>
          <w:color w:val="444444"/>
          <w:kern w:val="0"/>
          <w:sz w:val="21"/>
          <w:szCs w:val="21"/>
          <w:lang w:eastAsia="ru-RU"/>
          <w14:ligatures w14:val="none"/>
        </w:rPr>
        <w:br/>
        <w:t>Положительные результаты Государственных контрольных испытаний являются основанием для организации или продолжения серийного производства средств НК.</w:t>
      </w:r>
      <w:r w:rsidRPr="009E40F4">
        <w:rPr>
          <w:rFonts w:ascii="Open Sans" w:eastAsia="Times New Roman" w:hAnsi="Open Sans" w:cs="Open Sans"/>
          <w:color w:val="444444"/>
          <w:kern w:val="0"/>
          <w:sz w:val="21"/>
          <w:szCs w:val="21"/>
          <w:lang w:eastAsia="ru-RU"/>
          <w14:ligatures w14:val="none"/>
        </w:rPr>
        <w:br/>
        <w:t>Серийно изготавливаемые средства НК подвергают предъявительским, приемосдаточным и периодическим испытаниям. Цель этих испытаний — установить пригодность средств к применению. Предъявительские испытания каждого средства НК проводятся отделом технического контроля предприятия-изготовителя, а приемосдаточные — органами приемки. Периодические испытания проводят в соответствии с ГОСТ 26964 - 86 на нескольких образцах изделия, выдержавших приемосдаточные испытания.</w:t>
      </w:r>
      <w:r w:rsidRPr="009E40F4">
        <w:rPr>
          <w:rFonts w:ascii="Open Sans" w:eastAsia="Times New Roman" w:hAnsi="Open Sans" w:cs="Open Sans"/>
          <w:color w:val="444444"/>
          <w:kern w:val="0"/>
          <w:sz w:val="21"/>
          <w:szCs w:val="21"/>
          <w:lang w:eastAsia="ru-RU"/>
          <w14:ligatures w14:val="none"/>
        </w:rPr>
        <w:br/>
        <w:t>Кроме указанных испытаний средства НК при их изготовлении могут подвергаться типовым испытаниям с целью оценки эффективности и целесообразности внесения изменений в конструкцию и технологический процесс.</w:t>
      </w:r>
      <w:r w:rsidRPr="009E40F4">
        <w:rPr>
          <w:rFonts w:ascii="Open Sans" w:eastAsia="Times New Roman" w:hAnsi="Open Sans" w:cs="Open Sans"/>
          <w:color w:val="444444"/>
          <w:kern w:val="0"/>
          <w:sz w:val="21"/>
          <w:szCs w:val="21"/>
          <w:lang w:eastAsia="ru-RU"/>
          <w14:ligatures w14:val="none"/>
        </w:rPr>
        <w:br/>
      </w:r>
      <w:r w:rsidRPr="009E40F4">
        <w:rPr>
          <w:rFonts w:ascii="Open Sans" w:eastAsia="Times New Roman" w:hAnsi="Open Sans" w:cs="Open Sans"/>
          <w:color w:val="444444"/>
          <w:kern w:val="0"/>
          <w:sz w:val="21"/>
          <w:szCs w:val="21"/>
          <w:lang w:eastAsia="ru-RU"/>
          <w14:ligatures w14:val="none"/>
        </w:rPr>
        <w:lastRenderedPageBreak/>
        <w:t>Рассмотренные виды испытаний средств НК согласно ГОСТ 8.513 - 84 входят в понятие первичной поверки средств измерений, т.е. поверки средств при выпуске из производства или ремонта. Кроме первичной поверки проводят периодическую, внеочередную, инспекционную и экспертную поверки, руководствуясь ГОСТ 8.513 - 84. Поверку осуществляют организации, которым Госстандартом в установленном порядке предоставлено право поверки.</w:t>
      </w:r>
      <w:r w:rsidRPr="009E40F4">
        <w:rPr>
          <w:rFonts w:ascii="Open Sans" w:eastAsia="Times New Roman" w:hAnsi="Open Sans" w:cs="Open Sans"/>
          <w:color w:val="444444"/>
          <w:kern w:val="0"/>
          <w:sz w:val="21"/>
          <w:szCs w:val="21"/>
          <w:lang w:eastAsia="ru-RU"/>
          <w14:ligatures w14:val="none"/>
        </w:rPr>
        <w:br/>
        <w:t>Высокое качество средств НК при их производстве может быть обеспечено при условии введения сертификации средств НК. Сертификация продукции предусматривает испытания продукции и оценку системы обеспечения стабильности качества этой продукции предприятием-изготовителем. Таким образом, сертификация — это система надзора за качеством и гарантия качества продукции.</w:t>
      </w:r>
    </w:p>
    <w:p w14:paraId="0324F48D" w14:textId="77777777" w:rsidR="009E40F4" w:rsidRPr="009E40F4" w:rsidRDefault="009E40F4" w:rsidP="009E40F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10" w:name="_Toc322119665"/>
      <w:bookmarkStart w:id="11" w:name="_Toc191278220"/>
      <w:bookmarkEnd w:id="10"/>
      <w:r w:rsidRPr="009E40F4">
        <w:rPr>
          <w:rFonts w:ascii="Open Sans" w:eastAsia="Times New Roman" w:hAnsi="Open Sans" w:cs="Open Sans"/>
          <w:color w:val="1FA2D6"/>
          <w:kern w:val="0"/>
          <w:sz w:val="21"/>
          <w:szCs w:val="21"/>
          <w:lang w:eastAsia="ru-RU"/>
          <w14:ligatures w14:val="none"/>
        </w:rPr>
        <w:t>§ 3.6. Аттестация нормативно-технической документации на методы контроля</w:t>
      </w:r>
      <w:bookmarkEnd w:id="11"/>
      <w:r w:rsidRPr="009E40F4">
        <w:rPr>
          <w:rFonts w:ascii="Open Sans" w:eastAsia="Times New Roman" w:hAnsi="Open Sans" w:cs="Open Sans"/>
          <w:color w:val="444444"/>
          <w:kern w:val="0"/>
          <w:sz w:val="21"/>
          <w:szCs w:val="21"/>
          <w:lang w:eastAsia="ru-RU"/>
          <w14:ligatures w14:val="none"/>
        </w:rPr>
        <w:br/>
        <w:t>Нормативно-техническую документацию на </w:t>
      </w:r>
      <w:hyperlink r:id="rId13" w:history="1">
        <w:r w:rsidRPr="009E40F4">
          <w:rPr>
            <w:rFonts w:ascii="Open Sans" w:eastAsia="Times New Roman" w:hAnsi="Open Sans" w:cs="Open Sans"/>
            <w:color w:val="1FA2D6"/>
            <w:kern w:val="0"/>
            <w:sz w:val="21"/>
            <w:szCs w:val="21"/>
            <w:u w:val="single"/>
            <w:lang w:eastAsia="ru-RU"/>
            <w14:ligatures w14:val="none"/>
          </w:rPr>
          <w:t>неразрушающий контроль</w:t>
        </w:r>
      </w:hyperlink>
      <w:r w:rsidRPr="009E40F4">
        <w:rPr>
          <w:rFonts w:ascii="Open Sans" w:eastAsia="Times New Roman" w:hAnsi="Open Sans" w:cs="Open Sans"/>
          <w:color w:val="444444"/>
          <w:kern w:val="0"/>
          <w:sz w:val="21"/>
          <w:szCs w:val="21"/>
          <w:lang w:eastAsia="ru-RU"/>
          <w14:ligatures w14:val="none"/>
        </w:rPr>
        <w:t> следует рассматривать как базу метрологического обеспечения процесса контроля при условии, что надежность оператора и средств достаточно велика.</w:t>
      </w:r>
      <w:r w:rsidRPr="009E40F4">
        <w:rPr>
          <w:rFonts w:ascii="Open Sans" w:eastAsia="Times New Roman" w:hAnsi="Open Sans" w:cs="Open Sans"/>
          <w:color w:val="444444"/>
          <w:kern w:val="0"/>
          <w:sz w:val="21"/>
          <w:szCs w:val="21"/>
          <w:lang w:eastAsia="ru-RU"/>
          <w14:ligatures w14:val="none"/>
        </w:rPr>
        <w:br/>
        <w:t>Основные НТД, по которым выполняют </w:t>
      </w:r>
      <w:hyperlink r:id="rId14" w:history="1">
        <w:r w:rsidRPr="009E40F4">
          <w:rPr>
            <w:rFonts w:ascii="Open Sans" w:eastAsia="Times New Roman" w:hAnsi="Open Sans" w:cs="Open Sans"/>
            <w:color w:val="1FA2D6"/>
            <w:kern w:val="0"/>
            <w:sz w:val="21"/>
            <w:szCs w:val="21"/>
            <w:u w:val="single"/>
            <w:lang w:eastAsia="ru-RU"/>
            <w14:ligatures w14:val="none"/>
          </w:rPr>
          <w:t>неразрушающий контроль</w:t>
        </w:r>
      </w:hyperlink>
      <w:r w:rsidRPr="009E40F4">
        <w:rPr>
          <w:rFonts w:ascii="Open Sans" w:eastAsia="Times New Roman" w:hAnsi="Open Sans" w:cs="Open Sans"/>
          <w:color w:val="444444"/>
          <w:kern w:val="0"/>
          <w:sz w:val="21"/>
          <w:szCs w:val="21"/>
          <w:lang w:eastAsia="ru-RU"/>
          <w14:ligatures w14:val="none"/>
        </w:rPr>
        <w:t>, — инструкции и технологические карты. Последние конкретизируют процесс контроля применительно к конкретным объектам, основные положения которого сформулированы в инструкции.</w:t>
      </w:r>
      <w:r w:rsidRPr="009E40F4">
        <w:rPr>
          <w:rFonts w:ascii="Open Sans" w:eastAsia="Times New Roman" w:hAnsi="Open Sans" w:cs="Open Sans"/>
          <w:color w:val="444444"/>
          <w:kern w:val="0"/>
          <w:sz w:val="21"/>
          <w:szCs w:val="21"/>
          <w:lang w:eastAsia="ru-RU"/>
          <w14:ligatures w14:val="none"/>
        </w:rPr>
        <w:br/>
        <w:t>При разработке новой или пересмотре действующей технической документации на контроль во вводной части указывают, на контроль каких объектов распространяется документация, в пределах каких предприятий и министерств (ведомств) она действует, на основе каких материалов составлена, а также приводят перечень дефектов, подлежащих выявлению в объектах выбранным методом.</w:t>
      </w:r>
      <w:r w:rsidRPr="009E40F4">
        <w:rPr>
          <w:rFonts w:ascii="Open Sans" w:eastAsia="Times New Roman" w:hAnsi="Open Sans" w:cs="Open Sans"/>
          <w:color w:val="444444"/>
          <w:kern w:val="0"/>
          <w:sz w:val="21"/>
          <w:szCs w:val="21"/>
          <w:lang w:eastAsia="ru-RU"/>
          <w14:ligatures w14:val="none"/>
        </w:rPr>
        <w:br/>
        <w:t>Если методом контролируют ряд однотипных объектов, то указывают предельные размеры ряда.</w:t>
      </w:r>
      <w:r w:rsidRPr="009E40F4">
        <w:rPr>
          <w:rFonts w:ascii="Open Sans" w:eastAsia="Times New Roman" w:hAnsi="Open Sans" w:cs="Open Sans"/>
          <w:color w:val="444444"/>
          <w:kern w:val="0"/>
          <w:sz w:val="21"/>
          <w:szCs w:val="21"/>
          <w:lang w:eastAsia="ru-RU"/>
          <w14:ligatures w14:val="none"/>
        </w:rPr>
        <w:br/>
        <w:t>В разделе Аппаратура отображают тип (марку) применяемой аппаратуры и особенности ее эксплуатации; типы преобразователей и аналогичных им устройств для получения информации; перечень основных параметров аппаратуры, стандартные образцы и вспомогательные устройства для настройки аппаратуры и проверки основных параметров; порядок и методику настройки аппаратуры.</w:t>
      </w:r>
      <w:r w:rsidRPr="009E40F4">
        <w:rPr>
          <w:rFonts w:ascii="Open Sans" w:eastAsia="Times New Roman" w:hAnsi="Open Sans" w:cs="Open Sans"/>
          <w:color w:val="444444"/>
          <w:kern w:val="0"/>
          <w:sz w:val="21"/>
          <w:szCs w:val="21"/>
          <w:lang w:eastAsia="ru-RU"/>
          <w14:ligatures w14:val="none"/>
        </w:rPr>
        <w:br/>
        <w:t>При применении нестандартных испытательных образцов и вспомогательных устройств должны быть приведены необходимые данные для их изготовления.</w:t>
      </w:r>
      <w:r w:rsidRPr="009E40F4">
        <w:rPr>
          <w:rFonts w:ascii="Open Sans" w:eastAsia="Times New Roman" w:hAnsi="Open Sans" w:cs="Open Sans"/>
          <w:color w:val="444444"/>
          <w:kern w:val="0"/>
          <w:sz w:val="21"/>
          <w:szCs w:val="21"/>
          <w:lang w:eastAsia="ru-RU"/>
          <w14:ligatures w14:val="none"/>
        </w:rPr>
        <w:br/>
        <w:t>В разделе «Подготовка к контролю» указывают положение объекта, при котором осуществляют контроль; порядок операций подготовки объекта контроля; требования к температуре объекта контроля, качеству поверхности, на которой будут располагаться преобразователи или аналогичные им устройства для получения информации; порядок размещения аппаратуры и приведения ее в рабочее состояние перед проведением контроля; требования к окружающей среде и способы учета ее нестабильности.</w:t>
      </w:r>
      <w:r w:rsidRPr="009E40F4">
        <w:rPr>
          <w:rFonts w:ascii="Open Sans" w:eastAsia="Times New Roman" w:hAnsi="Open Sans" w:cs="Open Sans"/>
          <w:color w:val="444444"/>
          <w:kern w:val="0"/>
          <w:sz w:val="21"/>
          <w:szCs w:val="21"/>
          <w:lang w:eastAsia="ru-RU"/>
          <w14:ligatures w14:val="none"/>
        </w:rPr>
        <w:br/>
        <w:t>В разделе «Проведение контроля» приводят перечень и значения основных параметров контроля; последовательность применения выбранных методов контроля и их вариантов; схемы и параметры сканирования; периодичность проверки основных параметров в процессе контроля; признаки обнаружения дефектов по показаниям индикаторов аппаратуры; характеристики выявляемых дефектов и способы их определения; порядок выполнения заключительных операций с указанием способов очистки деталей и сборочных единиц от контактных сред и их защиты от коррозии, последовательности приведения аппаратуры в рабочее состояние по окончании контроля.</w:t>
      </w:r>
      <w:r w:rsidRPr="009E40F4">
        <w:rPr>
          <w:rFonts w:ascii="Open Sans" w:eastAsia="Times New Roman" w:hAnsi="Open Sans" w:cs="Open Sans"/>
          <w:color w:val="444444"/>
          <w:kern w:val="0"/>
          <w:sz w:val="21"/>
          <w:szCs w:val="21"/>
          <w:lang w:eastAsia="ru-RU"/>
          <w14:ligatures w14:val="none"/>
        </w:rPr>
        <w:br/>
        <w:t xml:space="preserve">В разделе «Оценка качества изделия и оформление результатов контроля» описывают систему оценки качества объектов по результатам контроля; предельные значения измеряемых характеристик выявленных дефектов, обусловленные принятой системой оценки; принятые условные обозначения выявляемых дефектов; форму документа, в </w:t>
      </w:r>
      <w:r w:rsidRPr="009E40F4">
        <w:rPr>
          <w:rFonts w:ascii="Open Sans" w:eastAsia="Times New Roman" w:hAnsi="Open Sans" w:cs="Open Sans"/>
          <w:color w:val="444444"/>
          <w:kern w:val="0"/>
          <w:sz w:val="21"/>
          <w:szCs w:val="21"/>
          <w:lang w:eastAsia="ru-RU"/>
          <w14:ligatures w14:val="none"/>
        </w:rPr>
        <w:lastRenderedPageBreak/>
        <w:t>котором фиксируют результаты контроля.</w:t>
      </w:r>
      <w:r w:rsidRPr="009E40F4">
        <w:rPr>
          <w:rFonts w:ascii="Open Sans" w:eastAsia="Times New Roman" w:hAnsi="Open Sans" w:cs="Open Sans"/>
          <w:color w:val="444444"/>
          <w:kern w:val="0"/>
          <w:sz w:val="21"/>
          <w:szCs w:val="21"/>
          <w:lang w:eastAsia="ru-RU"/>
          <w14:ligatures w14:val="none"/>
        </w:rPr>
        <w:br/>
        <w:t>В документе должны указываться следующие данные: основные технические характеристики объекта контроля; место проведения контроля; обозначение (индекс) документа, на основании которого проводился контроль; результаты проверки основных параметров контроля; результаты контроля и схемы участков объекта контроля, в которых оставлены выявленные дефекты для последующего наблюдения за ними с указанием основных определяемых характеристик; участки объекта контроля, не подвергнутые контролю из-за их несоответствия требованиям, указанным в разделе «Подготовка к контролю»; регистрационные номера аппаратуры и принадлежностей; подпись дефектоскописта.</w:t>
      </w:r>
      <w:r w:rsidRPr="009E40F4">
        <w:rPr>
          <w:rFonts w:ascii="Open Sans" w:eastAsia="Times New Roman" w:hAnsi="Open Sans" w:cs="Open Sans"/>
          <w:color w:val="444444"/>
          <w:kern w:val="0"/>
          <w:sz w:val="21"/>
          <w:szCs w:val="21"/>
          <w:lang w:eastAsia="ru-RU"/>
          <w14:ligatures w14:val="none"/>
        </w:rPr>
        <w:br/>
        <w:t>В разделе «Требования безопасности» излагают требования, соблюдение которых обязательно при работе по контролю объектов на данном предприятии выбранными методами. При разработке требований руководствуются действующими правилами эксплуатации используемой аппаратуры.</w:t>
      </w:r>
      <w:r w:rsidRPr="009E40F4">
        <w:rPr>
          <w:rFonts w:ascii="Open Sans" w:eastAsia="Times New Roman" w:hAnsi="Open Sans" w:cs="Open Sans"/>
          <w:color w:val="444444"/>
          <w:kern w:val="0"/>
          <w:sz w:val="21"/>
          <w:szCs w:val="21"/>
          <w:lang w:eastAsia="ru-RU"/>
          <w14:ligatures w14:val="none"/>
        </w:rPr>
        <w:br/>
        <w:t>Изложенная схема построения инструкций (методик, правил) на неразрушающий контроль отвечает требованиям ГОСТ 8.010 - 72 и 20415 - 82. Разработке НТД на контроль должен предшествовать комплекс экспериментальных исследований, подтверждающий возможность достижения необходимой достоверности результатов контроля. Разработанная НТД на контроль должна быть аттестована органами ведомственной метрологической службы, согласована с заказчиком и утверждена руководителем организации — разработчиком НТД. Аттестация НТД, согласно ГОСТ 8.010 - 72, проводится по программе, утверждаемой руководителем организации, проводящей аттестацию. Об аттестации НТД составляется отчет. В необходимых случаях по требованию заказчика аттестации НТД должна предшествовать ее метрологическая экспертиза. Указания по метрологической экспертизе НТД изложены в ГОСТ 8.103 - 73.</w:t>
      </w:r>
    </w:p>
    <w:p w14:paraId="3BC66EF5" w14:textId="77777777" w:rsidR="009E40F4" w:rsidRPr="009E40F4" w:rsidRDefault="009E40F4" w:rsidP="009E40F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bookmarkStart w:id="12" w:name="_Toc322119666"/>
      <w:bookmarkStart w:id="13" w:name="_Toc191278221"/>
      <w:bookmarkEnd w:id="12"/>
      <w:r w:rsidRPr="009E40F4">
        <w:rPr>
          <w:rFonts w:ascii="Open Sans" w:eastAsia="Times New Roman" w:hAnsi="Open Sans" w:cs="Open Sans"/>
          <w:color w:val="1FA2D6"/>
          <w:kern w:val="0"/>
          <w:sz w:val="21"/>
          <w:szCs w:val="21"/>
          <w:lang w:eastAsia="ru-RU"/>
          <w14:ligatures w14:val="none"/>
        </w:rPr>
        <w:t>§ 3.7. Аттестация специалистов</w:t>
      </w:r>
      <w:bookmarkEnd w:id="13"/>
      <w:r w:rsidRPr="009E40F4">
        <w:rPr>
          <w:rFonts w:ascii="Open Sans" w:eastAsia="Times New Roman" w:hAnsi="Open Sans" w:cs="Open Sans"/>
          <w:color w:val="444444"/>
          <w:kern w:val="0"/>
          <w:sz w:val="21"/>
          <w:szCs w:val="21"/>
          <w:lang w:eastAsia="ru-RU"/>
          <w14:ligatures w14:val="none"/>
        </w:rPr>
        <w:br/>
        <w:t>Как показано в § 2.3, надежность НК обусловливается надежностью дефектоскопической аппаратуры и надежностью оператора (контролера). Надежность аппаратуры обеспечивается ее метрологической аттестацией и периодической поверкой. Аналогично надежность оператора может быть обеспечена аттестацией и периодической переаттестацией специалистов, непосредственно выполняющих неразрушающий контроль объектов.</w:t>
      </w:r>
    </w:p>
    <w:p w14:paraId="469B8D84" w14:textId="0489A561" w:rsidR="009E40F4" w:rsidRPr="009E40F4" w:rsidRDefault="009E40F4" w:rsidP="009E40F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noProof/>
          <w:color w:val="444444"/>
          <w:kern w:val="0"/>
          <w:sz w:val="21"/>
          <w:szCs w:val="21"/>
          <w:lang w:eastAsia="ru-RU"/>
          <w14:ligatures w14:val="none"/>
        </w:rPr>
        <w:drawing>
          <wp:inline distT="0" distB="0" distL="0" distR="0" wp14:anchorId="039365AE" wp14:editId="7909B5A0">
            <wp:extent cx="2514600" cy="1760220"/>
            <wp:effectExtent l="0" t="0" r="0" b="0"/>
            <wp:docPr id="1757425681" name="Рисунок 2" descr="Изображение выглядит как зарисовка, рисунок, офисные принадлежности, Штриховая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425681" name="Рисунок 2" descr="Изображение выглядит как зарисовка, рисунок, офисные принадлежности, Штриховая графика&#10;&#10;Автоматически созданное описание"/>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14600" cy="1760220"/>
                    </a:xfrm>
                    <a:prstGeom prst="rect">
                      <a:avLst/>
                    </a:prstGeom>
                    <a:noFill/>
                    <a:ln>
                      <a:noFill/>
                    </a:ln>
                  </pic:spPr>
                </pic:pic>
              </a:graphicData>
            </a:graphic>
          </wp:inline>
        </w:drawing>
      </w:r>
      <w:r w:rsidRPr="009E40F4">
        <w:rPr>
          <w:rFonts w:ascii="Open Sans" w:eastAsia="Times New Roman" w:hAnsi="Open Sans" w:cs="Open Sans"/>
          <w:color w:val="444444"/>
          <w:kern w:val="0"/>
          <w:sz w:val="21"/>
          <w:szCs w:val="21"/>
          <w:lang w:eastAsia="ru-RU"/>
          <w14:ligatures w14:val="none"/>
        </w:rPr>
        <w:br/>
        <w:t>Рис. 3.4. Тренажер ПОИСК-19 (ЛИИЖТ) для аттестации специалистов</w:t>
      </w:r>
      <w:r w:rsidRPr="009E40F4">
        <w:rPr>
          <w:rFonts w:ascii="Open Sans" w:eastAsia="Times New Roman" w:hAnsi="Open Sans" w:cs="Open Sans"/>
          <w:color w:val="444444"/>
          <w:kern w:val="0"/>
          <w:sz w:val="21"/>
          <w:szCs w:val="21"/>
          <w:lang w:eastAsia="ru-RU"/>
          <w14:ligatures w14:val="none"/>
        </w:rPr>
        <w:br/>
        <w:t>по ультразвуковому контролю сварных соединений</w:t>
      </w:r>
    </w:p>
    <w:p w14:paraId="5890C9A2" w14:textId="77777777" w:rsidR="009E40F4" w:rsidRPr="009E40F4" w:rsidRDefault="009E40F4" w:rsidP="009E40F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color w:val="444444"/>
          <w:kern w:val="0"/>
          <w:sz w:val="21"/>
          <w:szCs w:val="21"/>
          <w:lang w:eastAsia="ru-RU"/>
          <w14:ligatures w14:val="none"/>
        </w:rPr>
        <w:t xml:space="preserve">Аттестация — это установление соответствия знаний, умений и навыков специалиста требованиям, предъявляемым к нему квалификационным уровнем. Во всех развитых странах мира специалистов в области НК разделяют по квалификации па три уровня: первый, второй и третий (I, II, III). Специалист I уровня квалификации имеет право </w:t>
      </w:r>
      <w:r w:rsidRPr="009E40F4">
        <w:rPr>
          <w:rFonts w:ascii="Open Sans" w:eastAsia="Times New Roman" w:hAnsi="Open Sans" w:cs="Open Sans"/>
          <w:color w:val="444444"/>
          <w:kern w:val="0"/>
          <w:sz w:val="21"/>
          <w:szCs w:val="21"/>
          <w:lang w:eastAsia="ru-RU"/>
          <w14:ligatures w14:val="none"/>
        </w:rPr>
        <w:lastRenderedPageBreak/>
        <w:t>выполнять контроль в соответствии с письменными инструкциями или под руководством специалистов II или III уровня без выдачи заключения о качестве объекта. В зависимости от сложности и характера работы ему на предприятии присваивается первый или второй разряд дефектоскописта. Специалист II уровня квалификации имеет право самостоятельно выполнять контроль в соответствии со стандартами, спецификациями и другими нормативно-техническими документами, выдавать заключение о качестве объекта по результатам контроля, выполненного им или специалистом I уровня квалификации. В зависимости от сложности и характера работы ему на предприятии может быть присвоен 3, 4, 5 или 6-й разряд дефектоскописта.</w:t>
      </w:r>
      <w:r w:rsidRPr="009E40F4">
        <w:rPr>
          <w:rFonts w:ascii="Open Sans" w:eastAsia="Times New Roman" w:hAnsi="Open Sans" w:cs="Open Sans"/>
          <w:color w:val="444444"/>
          <w:kern w:val="0"/>
          <w:sz w:val="21"/>
          <w:szCs w:val="21"/>
          <w:lang w:eastAsia="ru-RU"/>
          <w14:ligatures w14:val="none"/>
        </w:rPr>
        <w:br/>
        <w:t>Специалист III уровня квалификации имеет право самостоятельно выполнять контроль с выдачей заключения о качестве объекта, разрабатывать методики и технологические карты неразрушающего контроля, вести подготовку и участвовать в аттестации специалистов I и II уровней квалификации. На предприятии он может быть назначен на должность руководителя подразделения неразрушающего контроля.</w:t>
      </w:r>
      <w:r w:rsidRPr="009E40F4">
        <w:rPr>
          <w:rFonts w:ascii="Open Sans" w:eastAsia="Times New Roman" w:hAnsi="Open Sans" w:cs="Open Sans"/>
          <w:color w:val="444444"/>
          <w:kern w:val="0"/>
          <w:sz w:val="21"/>
          <w:szCs w:val="21"/>
          <w:lang w:eastAsia="ru-RU"/>
          <w14:ligatures w14:val="none"/>
        </w:rPr>
        <w:br/>
        <w:t>Требования к общему образованию и предварительной подготовке, специальному обучению и стажировке после обучения, выполнение которых обязательно для аттестации специалиста на соответствующий уровень квалификации, приведены в табл. 3.2.</w:t>
      </w:r>
      <w:r w:rsidRPr="009E40F4">
        <w:rPr>
          <w:rFonts w:ascii="Open Sans" w:eastAsia="Times New Roman" w:hAnsi="Open Sans" w:cs="Open Sans"/>
          <w:color w:val="444444"/>
          <w:kern w:val="0"/>
          <w:sz w:val="21"/>
          <w:szCs w:val="21"/>
          <w:lang w:eastAsia="ru-RU"/>
          <w14:ligatures w14:val="none"/>
        </w:rPr>
        <w:br/>
        <w:t>Уровень квалификации устанавливают при аттестации специалиста. Специалист любого уровня квалификации аттестуется на право контроля конкретными методами объектов конкретного вида, например на метод ультразвукового контроля стыковых сварных соединений из углеродистых и низколегированных сталей.</w:t>
      </w:r>
    </w:p>
    <w:p w14:paraId="45942D09" w14:textId="3CDD4E6E" w:rsidR="009E40F4" w:rsidRPr="009E40F4" w:rsidRDefault="009E40F4" w:rsidP="009E40F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color w:val="444444"/>
          <w:kern w:val="0"/>
          <w:sz w:val="21"/>
          <w:szCs w:val="21"/>
          <w:lang w:eastAsia="ru-RU"/>
          <w14:ligatures w14:val="none"/>
        </w:rPr>
        <w:t>Таблица 3.2</w:t>
      </w:r>
      <w:r w:rsidRPr="009E40F4">
        <w:rPr>
          <w:rFonts w:ascii="Open Sans" w:eastAsia="Times New Roman" w:hAnsi="Open Sans" w:cs="Open Sans"/>
          <w:color w:val="444444"/>
          <w:kern w:val="0"/>
          <w:sz w:val="21"/>
          <w:szCs w:val="21"/>
          <w:lang w:eastAsia="ru-RU"/>
          <w14:ligatures w14:val="none"/>
        </w:rPr>
        <w:br/>
        <w:t xml:space="preserve">Рекомердуемые требования к подготовке, квалификации и аттестации специалистов по </w:t>
      </w:r>
      <w:r w:rsidRPr="009E40F4">
        <w:rPr>
          <w:rFonts w:ascii="Open Sans" w:eastAsia="Times New Roman" w:hAnsi="Open Sans" w:cs="Open Sans"/>
          <w:color w:val="444444"/>
          <w:kern w:val="0"/>
          <w:sz w:val="21"/>
          <w:szCs w:val="21"/>
          <w:lang w:eastAsia="ru-RU"/>
          <w14:ligatures w14:val="none"/>
        </w:rPr>
        <w:lastRenderedPageBreak/>
        <w:t>неразрушающему контролю (НК)</w:t>
      </w:r>
      <w:r w:rsidRPr="009E40F4">
        <w:rPr>
          <w:rFonts w:ascii="Open Sans" w:eastAsia="Times New Roman" w:hAnsi="Open Sans" w:cs="Open Sans"/>
          <w:color w:val="444444"/>
          <w:kern w:val="0"/>
          <w:sz w:val="21"/>
          <w:szCs w:val="21"/>
          <w:lang w:eastAsia="ru-RU"/>
          <w14:ligatures w14:val="none"/>
        </w:rPr>
        <w:br/>
      </w:r>
      <w:r w:rsidRPr="009E40F4">
        <w:rPr>
          <w:rFonts w:ascii="Open Sans" w:eastAsia="Times New Roman" w:hAnsi="Open Sans" w:cs="Open Sans"/>
          <w:noProof/>
          <w:color w:val="444444"/>
          <w:kern w:val="0"/>
          <w:sz w:val="21"/>
          <w:szCs w:val="21"/>
          <w:lang w:eastAsia="ru-RU"/>
          <w14:ligatures w14:val="none"/>
        </w:rPr>
        <w:drawing>
          <wp:inline distT="0" distB="0" distL="0" distR="0" wp14:anchorId="48B07E5B" wp14:editId="1EAF0EF3">
            <wp:extent cx="4693920" cy="6370320"/>
            <wp:effectExtent l="0" t="0" r="0" b="0"/>
            <wp:docPr id="623491471" name="Рисунок 1" descr="Изображение выглядит как текст, снимок экрана, Шрифт, Параллельный&#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491471" name="Рисунок 1" descr="Изображение выглядит как текст, снимок экрана, Шрифт, Параллельный&#10;&#10;Автоматически созданное описание"/>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93920" cy="6370320"/>
                    </a:xfrm>
                    <a:prstGeom prst="rect">
                      <a:avLst/>
                    </a:prstGeom>
                    <a:noFill/>
                    <a:ln>
                      <a:noFill/>
                    </a:ln>
                  </pic:spPr>
                </pic:pic>
              </a:graphicData>
            </a:graphic>
          </wp:inline>
        </w:drawing>
      </w:r>
    </w:p>
    <w:p w14:paraId="60907C4C" w14:textId="77777777" w:rsidR="009E40F4" w:rsidRPr="009E40F4" w:rsidRDefault="009E40F4" w:rsidP="009E40F4">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9E40F4">
        <w:rPr>
          <w:rFonts w:ascii="Open Sans" w:eastAsia="Times New Roman" w:hAnsi="Open Sans" w:cs="Open Sans"/>
          <w:color w:val="444444"/>
          <w:kern w:val="0"/>
          <w:sz w:val="21"/>
          <w:szCs w:val="21"/>
          <w:lang w:eastAsia="ru-RU"/>
          <w14:ligatures w14:val="none"/>
        </w:rPr>
        <w:t>По результатам положительной аттестации специалисту выдают удостоверение, в котором указывают: фамилию, имя, отчество аттестованного; присвоенный уровень квалификации, дата присвоения и номер протокола; виды (методы) неразрушающего контроля, по которым аттестован специалист; тип продукции, к контролю которой допускается специалист.</w:t>
      </w:r>
      <w:r w:rsidRPr="009E40F4">
        <w:rPr>
          <w:rFonts w:ascii="Open Sans" w:eastAsia="Times New Roman" w:hAnsi="Open Sans" w:cs="Open Sans"/>
          <w:color w:val="444444"/>
          <w:kern w:val="0"/>
          <w:sz w:val="21"/>
          <w:szCs w:val="21"/>
          <w:lang w:eastAsia="ru-RU"/>
          <w14:ligatures w14:val="none"/>
        </w:rPr>
        <w:br/>
        <w:t>В процессе аттестации специалистов любого уровня квалификации проводится два вида экзаменов: 1) по общим вопросам методов неразрушающего контроля (теория, практика); 2) по технологии контроля (теория, практика) и по правилам техники безопасности и охраны труда при производстве работ.</w:t>
      </w:r>
      <w:r w:rsidRPr="009E40F4">
        <w:rPr>
          <w:rFonts w:ascii="Open Sans" w:eastAsia="Times New Roman" w:hAnsi="Open Sans" w:cs="Open Sans"/>
          <w:color w:val="444444"/>
          <w:kern w:val="0"/>
          <w:sz w:val="21"/>
          <w:szCs w:val="21"/>
          <w:lang w:eastAsia="ru-RU"/>
          <w14:ligatures w14:val="none"/>
        </w:rPr>
        <w:br/>
        <w:t>При приеме экзамена по практике технологии контроля стараются использовать тренажеры, повышающие объективность аттестации (рис. 3.4).</w:t>
      </w:r>
      <w:r w:rsidRPr="009E40F4">
        <w:rPr>
          <w:rFonts w:ascii="Open Sans" w:eastAsia="Times New Roman" w:hAnsi="Open Sans" w:cs="Open Sans"/>
          <w:color w:val="444444"/>
          <w:kern w:val="0"/>
          <w:sz w:val="21"/>
          <w:szCs w:val="21"/>
          <w:lang w:eastAsia="ru-RU"/>
          <w14:ligatures w14:val="none"/>
        </w:rPr>
        <w:br/>
        <w:t xml:space="preserve">Аттестацию специалистов III уровня квалификации проводит Аттестационный комитет по неразрушающему контролю, а специалистов II и I уровня квалификации — региональные учебные и отраслевые аттестационные центры. Специалистов I уровня квалификации </w:t>
      </w:r>
      <w:r w:rsidRPr="009E40F4">
        <w:rPr>
          <w:rFonts w:ascii="Open Sans" w:eastAsia="Times New Roman" w:hAnsi="Open Sans" w:cs="Open Sans"/>
          <w:color w:val="444444"/>
          <w:kern w:val="0"/>
          <w:sz w:val="21"/>
          <w:szCs w:val="21"/>
          <w:lang w:eastAsia="ru-RU"/>
          <w14:ligatures w14:val="none"/>
        </w:rPr>
        <w:lastRenderedPageBreak/>
        <w:t>аттестуют комиссии предприятий, утвержденные приказом по предприятию. Аттестованным специалистам выдается удостоверение установленного образца. Переаттестация специалистов проводится по той же системе, что и аттестация. Сроки переаттестации приведены в табл. 3.2. Положительные результаты переаттестации фиксируются в указанных удостоверениях.</w:t>
      </w:r>
    </w:p>
    <w:p w14:paraId="1B6B0FEA" w14:textId="5EA80EBB" w:rsidR="004D5978" w:rsidRDefault="006953D0">
      <w:r>
        <w:rPr>
          <w:rFonts w:ascii="Open Sans" w:hAnsi="Open Sans" w:cs="Open Sans"/>
          <w:color w:val="444444"/>
          <w:sz w:val="21"/>
          <w:szCs w:val="21"/>
          <w:shd w:val="clear" w:color="auto" w:fill="FFFFFF"/>
        </w:rPr>
        <w:t>Контрольные вопросы</w:t>
      </w:r>
      <w:r>
        <w:rPr>
          <w:rFonts w:ascii="Open Sans" w:hAnsi="Open Sans" w:cs="Open Sans"/>
          <w:color w:val="444444"/>
          <w:sz w:val="21"/>
          <w:szCs w:val="21"/>
        </w:rPr>
        <w:br/>
      </w:r>
      <w:r>
        <w:rPr>
          <w:rFonts w:ascii="Open Sans" w:hAnsi="Open Sans" w:cs="Open Sans"/>
          <w:color w:val="444444"/>
          <w:sz w:val="21"/>
          <w:szCs w:val="21"/>
          <w:shd w:val="clear" w:color="auto" w:fill="FFFFFF"/>
        </w:rPr>
        <w:t>1 Какой метод позволяет повысить точность при органолептических измерениях?</w:t>
      </w:r>
      <w:r>
        <w:rPr>
          <w:rFonts w:ascii="Open Sans" w:hAnsi="Open Sans" w:cs="Open Sans"/>
          <w:color w:val="444444"/>
          <w:sz w:val="21"/>
          <w:szCs w:val="21"/>
        </w:rPr>
        <w:br/>
      </w:r>
      <w:r>
        <w:rPr>
          <w:rFonts w:ascii="Open Sans" w:hAnsi="Open Sans" w:cs="Open Sans"/>
          <w:color w:val="444444"/>
          <w:sz w:val="21"/>
          <w:szCs w:val="21"/>
          <w:shd w:val="clear" w:color="auto" w:fill="FFFFFF"/>
        </w:rPr>
        <w:t>2 К какому классу технических средств относятся магнитопорошковые и эхоимпульсные ультразвуковые дефектоскопы?</w:t>
      </w:r>
      <w:r>
        <w:rPr>
          <w:rFonts w:ascii="Open Sans" w:hAnsi="Open Sans" w:cs="Open Sans"/>
          <w:color w:val="444444"/>
          <w:sz w:val="21"/>
          <w:szCs w:val="21"/>
        </w:rPr>
        <w:br/>
      </w:r>
      <w:r>
        <w:rPr>
          <w:rFonts w:ascii="Open Sans" w:hAnsi="Open Sans" w:cs="Open Sans"/>
          <w:color w:val="444444"/>
          <w:sz w:val="21"/>
          <w:szCs w:val="21"/>
          <w:shd w:val="clear" w:color="auto" w:fill="FFFFFF"/>
        </w:rPr>
        <w:t>3 Назовите главную техническую характеристику дефектоскопа-индикатора.</w:t>
      </w:r>
      <w:r>
        <w:rPr>
          <w:rFonts w:ascii="Open Sans" w:hAnsi="Open Sans" w:cs="Open Sans"/>
          <w:color w:val="444444"/>
          <w:sz w:val="21"/>
          <w:szCs w:val="21"/>
        </w:rPr>
        <w:br/>
      </w:r>
      <w:r>
        <w:rPr>
          <w:rFonts w:ascii="Open Sans" w:hAnsi="Open Sans" w:cs="Open Sans"/>
          <w:color w:val="444444"/>
          <w:sz w:val="21"/>
          <w:szCs w:val="21"/>
          <w:shd w:val="clear" w:color="auto" w:fill="FFFFFF"/>
        </w:rPr>
        <w:t>4 Для чего предназначены стандартные образцы в неразрушающем контроле?</w:t>
      </w:r>
      <w:r>
        <w:rPr>
          <w:rFonts w:ascii="Open Sans" w:hAnsi="Open Sans" w:cs="Open Sans"/>
          <w:color w:val="444444"/>
          <w:sz w:val="21"/>
          <w:szCs w:val="21"/>
        </w:rPr>
        <w:br/>
      </w:r>
      <w:r>
        <w:rPr>
          <w:rFonts w:ascii="Open Sans" w:hAnsi="Open Sans" w:cs="Open Sans"/>
          <w:color w:val="444444"/>
          <w:sz w:val="21"/>
          <w:szCs w:val="21"/>
          <w:shd w:val="clear" w:color="auto" w:fill="FFFFFF"/>
        </w:rPr>
        <w:t>5 Из чего состоит система метрологического обеспечения неразрушающего контроля?</w:t>
      </w:r>
      <w:r>
        <w:rPr>
          <w:rFonts w:ascii="Open Sans" w:hAnsi="Open Sans" w:cs="Open Sans"/>
          <w:color w:val="444444"/>
          <w:sz w:val="21"/>
          <w:szCs w:val="21"/>
        </w:rPr>
        <w:br/>
      </w:r>
      <w:r>
        <w:rPr>
          <w:rFonts w:ascii="Open Sans" w:hAnsi="Open Sans" w:cs="Open Sans"/>
          <w:color w:val="444444"/>
          <w:sz w:val="21"/>
          <w:szCs w:val="21"/>
          <w:shd w:val="clear" w:color="auto" w:fill="FFFFFF"/>
        </w:rPr>
        <w:t>6 Какие основные группы стандартов в области НК вам известны?</w:t>
      </w:r>
      <w:r>
        <w:rPr>
          <w:rFonts w:ascii="Open Sans" w:hAnsi="Open Sans" w:cs="Open Sans"/>
          <w:color w:val="444444"/>
          <w:sz w:val="21"/>
          <w:szCs w:val="21"/>
        </w:rPr>
        <w:br/>
      </w:r>
      <w:r>
        <w:rPr>
          <w:rFonts w:ascii="Open Sans" w:hAnsi="Open Sans" w:cs="Open Sans"/>
          <w:color w:val="444444"/>
          <w:sz w:val="21"/>
          <w:szCs w:val="21"/>
          <w:shd w:val="clear" w:color="auto" w:fill="FFFFFF"/>
        </w:rPr>
        <w:t>7 Где и когда проводят первичную и периодическую поверку средств НК?</w:t>
      </w:r>
      <w:r>
        <w:rPr>
          <w:rFonts w:ascii="Open Sans" w:hAnsi="Open Sans" w:cs="Open Sans"/>
          <w:color w:val="444444"/>
          <w:sz w:val="21"/>
          <w:szCs w:val="21"/>
        </w:rPr>
        <w:br/>
      </w:r>
      <w:r>
        <w:rPr>
          <w:rFonts w:ascii="Open Sans" w:hAnsi="Open Sans" w:cs="Open Sans"/>
          <w:color w:val="444444"/>
          <w:sz w:val="21"/>
          <w:szCs w:val="21"/>
          <w:shd w:val="clear" w:color="auto" w:fill="FFFFFF"/>
        </w:rPr>
        <w:t>8 Каким испытаниям подвергают средства НК на стадиях их опытно-конструкторской разработки и при серийном производстве?</w:t>
      </w:r>
      <w:r>
        <w:rPr>
          <w:rFonts w:ascii="Open Sans" w:hAnsi="Open Sans" w:cs="Open Sans"/>
          <w:color w:val="444444"/>
          <w:sz w:val="21"/>
          <w:szCs w:val="21"/>
        </w:rPr>
        <w:br/>
      </w:r>
      <w:r>
        <w:rPr>
          <w:rFonts w:ascii="Open Sans" w:hAnsi="Open Sans" w:cs="Open Sans"/>
          <w:color w:val="444444"/>
          <w:sz w:val="21"/>
          <w:szCs w:val="21"/>
          <w:shd w:val="clear" w:color="auto" w:fill="FFFFFF"/>
        </w:rPr>
        <w:t>9 Изложите основные разделы НТД на методы контроля и требования к их содержанию.</w:t>
      </w:r>
      <w:r>
        <w:rPr>
          <w:rFonts w:ascii="Open Sans" w:hAnsi="Open Sans" w:cs="Open Sans"/>
          <w:color w:val="444444"/>
          <w:sz w:val="21"/>
          <w:szCs w:val="21"/>
        </w:rPr>
        <w:br/>
      </w:r>
      <w:r>
        <w:rPr>
          <w:rFonts w:ascii="Open Sans" w:hAnsi="Open Sans" w:cs="Open Sans"/>
          <w:color w:val="444444"/>
          <w:sz w:val="21"/>
          <w:szCs w:val="21"/>
          <w:shd w:val="clear" w:color="auto" w:fill="FFFFFF"/>
        </w:rPr>
        <w:t>10 В чем цель аттестации специалистов по неразрушающему контролю?</w:t>
      </w:r>
      <w:r>
        <w:rPr>
          <w:rFonts w:ascii="Open Sans" w:hAnsi="Open Sans" w:cs="Open Sans"/>
          <w:color w:val="444444"/>
          <w:sz w:val="21"/>
          <w:szCs w:val="21"/>
        </w:rPr>
        <w:br/>
      </w:r>
      <w:r>
        <w:rPr>
          <w:rFonts w:ascii="Open Sans" w:hAnsi="Open Sans" w:cs="Open Sans"/>
          <w:color w:val="444444"/>
          <w:sz w:val="21"/>
          <w:szCs w:val="21"/>
          <w:shd w:val="clear" w:color="auto" w:fill="FFFFFF"/>
        </w:rPr>
        <w:t>11 Изложите права специалистов по неразрушающему контролю I, II и III уровней квалификации.</w:t>
      </w:r>
      <w:r>
        <w:rPr>
          <w:rFonts w:ascii="Open Sans" w:hAnsi="Open Sans" w:cs="Open Sans"/>
          <w:color w:val="444444"/>
          <w:sz w:val="21"/>
          <w:szCs w:val="21"/>
        </w:rPr>
        <w:br/>
      </w:r>
      <w:r>
        <w:rPr>
          <w:rFonts w:ascii="Open Sans" w:hAnsi="Open Sans" w:cs="Open Sans"/>
          <w:color w:val="444444"/>
          <w:sz w:val="21"/>
          <w:szCs w:val="21"/>
          <w:shd w:val="clear" w:color="auto" w:fill="FFFFFF"/>
        </w:rPr>
        <w:t>12 Изложите требования к подготовке, квалификации и аттестации специалистов по неразрушающему контролю.</w:t>
      </w:r>
    </w:p>
    <w:sectPr w:rsidR="004D59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978"/>
    <w:rsid w:val="004D5978"/>
    <w:rsid w:val="006953D0"/>
    <w:rsid w:val="009E40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4E74A6"/>
  <w15:chartTrackingRefBased/>
  <w15:docId w15:val="{F11BD7B4-F8EA-462B-9C60-325D33697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9E40F4"/>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9E40F4"/>
    <w:rPr>
      <w:rFonts w:ascii="Times New Roman" w:eastAsia="Times New Roman" w:hAnsi="Times New Roman" w:cs="Times New Roman"/>
      <w:b/>
      <w:bCs/>
      <w:kern w:val="0"/>
      <w:sz w:val="36"/>
      <w:szCs w:val="36"/>
      <w:lang w:eastAsia="ru-RU"/>
      <w14:ligatures w14:val="none"/>
    </w:rPr>
  </w:style>
  <w:style w:type="paragraph" w:styleId="a3">
    <w:name w:val="Normal (Web)"/>
    <w:basedOn w:val="a"/>
    <w:uiPriority w:val="99"/>
    <w:semiHidden/>
    <w:unhideWhenUsed/>
    <w:rsid w:val="009E40F4"/>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styleId="a4">
    <w:name w:val="Emphasis"/>
    <w:basedOn w:val="a0"/>
    <w:uiPriority w:val="20"/>
    <w:qFormat/>
    <w:rsid w:val="009E40F4"/>
    <w:rPr>
      <w:i/>
      <w:iCs/>
    </w:rPr>
  </w:style>
  <w:style w:type="character" w:styleId="a5">
    <w:name w:val="Hyperlink"/>
    <w:basedOn w:val="a0"/>
    <w:uiPriority w:val="99"/>
    <w:semiHidden/>
    <w:unhideWhenUsed/>
    <w:rsid w:val="009E40F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8594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gif"/><Relationship Id="rId13" Type="http://schemas.openxmlformats.org/officeDocument/2006/relationships/hyperlink" Target="https://www.vactron.ru/index.php/service/poisk-techej"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gif"/><Relationship Id="rId12" Type="http://schemas.openxmlformats.org/officeDocument/2006/relationships/image" Target="media/image9.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image" Target="media/image3.gif"/><Relationship Id="rId11" Type="http://schemas.openxmlformats.org/officeDocument/2006/relationships/image" Target="media/image8.jpeg"/><Relationship Id="rId5" Type="http://schemas.openxmlformats.org/officeDocument/2006/relationships/image" Target="media/image2.gif"/><Relationship Id="rId15" Type="http://schemas.openxmlformats.org/officeDocument/2006/relationships/image" Target="media/image10.jpeg"/><Relationship Id="rId10" Type="http://schemas.openxmlformats.org/officeDocument/2006/relationships/image" Target="media/image7.jpeg"/><Relationship Id="rId4" Type="http://schemas.openxmlformats.org/officeDocument/2006/relationships/image" Target="media/image1.gif"/><Relationship Id="rId9" Type="http://schemas.openxmlformats.org/officeDocument/2006/relationships/image" Target="media/image6.gif"/><Relationship Id="rId14" Type="http://schemas.openxmlformats.org/officeDocument/2006/relationships/hyperlink" Target="https://www.vactron.ru/index.php/service/poisk-teche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6182</Words>
  <Characters>35239</Characters>
  <Application>Microsoft Office Word</Application>
  <DocSecurity>0</DocSecurity>
  <Lines>293</Lines>
  <Paragraphs>82</Paragraphs>
  <ScaleCrop>false</ScaleCrop>
  <Company/>
  <LinksUpToDate>false</LinksUpToDate>
  <CharactersWithSpaces>41339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Тергенбаева Дамира [AMP]</dc:creator>
  <cp:keywords/>
  <dc:description/>
  <cp:lastModifiedBy>Тергенбаева Дамира [AMP]</cp:lastModifiedBy>
  <cp:revision>3</cp:revision>
  <dcterms:created xsi:type="dcterms:W3CDTF">2024-01-03T06:13:00Z</dcterms:created>
  <dcterms:modified xsi:type="dcterms:W3CDTF">2024-01-03T06:14:00Z</dcterms:modified>
</cp:coreProperties>
</file>